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20"/>
        <w:gridCol w:w="4819"/>
      </w:tblGrid>
      <w:tr w:rsidR="008A607F" w:rsidRPr="008A607F" w14:paraId="03E29D53" w14:textId="77777777" w:rsidTr="009057F6">
        <w:trPr>
          <w:trHeight w:hRule="exact" w:val="454"/>
        </w:trPr>
        <w:tc>
          <w:tcPr>
            <w:tcW w:w="4820" w:type="dxa"/>
          </w:tcPr>
          <w:p w14:paraId="1D9BD0A6" w14:textId="17A5CD3D" w:rsidR="00694EFC" w:rsidRPr="008A607F" w:rsidRDefault="007F5181" w:rsidP="007F5181">
            <w:pPr>
              <w:pStyle w:val="Fensterzeile"/>
              <w:ind w:right="-566"/>
              <w:rPr>
                <w:rFonts w:asciiTheme="majorHAnsi" w:hAnsiTheme="majorHAnsi" w:cstheme="majorHAnsi"/>
                <w:sz w:val="16"/>
                <w:szCs w:val="16"/>
              </w:rPr>
            </w:pPr>
            <w:r w:rsidRPr="008A607F">
              <w:rPr>
                <w:rFonts w:asciiTheme="majorHAnsi" w:hAnsiTheme="majorHAnsi" w:cstheme="majorHAnsi"/>
                <w:sz w:val="16"/>
                <w:szCs w:val="16"/>
              </w:rPr>
              <w:t>Landesamt für Landwirtschaft und nachhaltige Landentwicklung des Landes Schleswig-Holstein | Hamburger Chaussee 25 | 24220 Flintbek</w:t>
            </w:r>
          </w:p>
        </w:tc>
        <w:tc>
          <w:tcPr>
            <w:tcW w:w="4819" w:type="dxa"/>
          </w:tcPr>
          <w:p w14:paraId="7DA0261A" w14:textId="77777777" w:rsidR="00694EFC" w:rsidRPr="008A607F" w:rsidRDefault="00694EFC" w:rsidP="00461313">
            <w:pPr>
              <w:pStyle w:val="Fensterzeile"/>
              <w:jc w:val="right"/>
              <w:rPr>
                <w:rFonts w:asciiTheme="majorHAnsi" w:hAnsiTheme="majorHAnsi" w:cstheme="majorHAnsi"/>
                <w:sz w:val="19"/>
                <w:szCs w:val="19"/>
              </w:rPr>
            </w:pPr>
          </w:p>
        </w:tc>
      </w:tr>
      <w:tr w:rsidR="00694EFC" w:rsidRPr="001C5159" w14:paraId="573257F6" w14:textId="77777777" w:rsidTr="002D7A2D">
        <w:trPr>
          <w:trHeight w:val="1814"/>
        </w:trPr>
        <w:tc>
          <w:tcPr>
            <w:tcW w:w="4820" w:type="dxa"/>
          </w:tcPr>
          <w:p w14:paraId="27BA1F98" w14:textId="77777777" w:rsidR="00694EFC" w:rsidRPr="001C5159" w:rsidRDefault="003C168B" w:rsidP="00442C68">
            <w:pPr>
              <w:rPr>
                <w:rFonts w:asciiTheme="majorHAnsi" w:hAnsiTheme="majorHAnsi" w:cstheme="majorHAnsi"/>
              </w:rPr>
            </w:pPr>
            <w:r w:rsidRPr="001C5159">
              <w:rPr>
                <w:rFonts w:asciiTheme="majorHAnsi" w:hAnsiTheme="majorHAnsi" w:cstheme="majorHAnsi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mpfänger und Anschrift"/>
                  </w:textInput>
                </w:ffData>
              </w:fldChar>
            </w:r>
            <w:bookmarkStart w:id="0" w:name="Text2"/>
            <w:r w:rsidRPr="001C5159">
              <w:rPr>
                <w:rFonts w:asciiTheme="majorHAnsi" w:hAnsiTheme="majorHAnsi" w:cstheme="majorHAnsi"/>
              </w:rPr>
              <w:instrText xml:space="preserve"> FORMTEXT </w:instrText>
            </w:r>
            <w:r w:rsidRPr="001C5159">
              <w:rPr>
                <w:rFonts w:asciiTheme="majorHAnsi" w:hAnsiTheme="majorHAnsi" w:cstheme="majorHAnsi"/>
              </w:rPr>
            </w:r>
            <w:r w:rsidRPr="001C5159">
              <w:rPr>
                <w:rFonts w:asciiTheme="majorHAnsi" w:hAnsiTheme="majorHAnsi" w:cstheme="majorHAnsi"/>
              </w:rPr>
              <w:fldChar w:fldCharType="separate"/>
            </w:r>
            <w:r w:rsidRPr="001C5159">
              <w:rPr>
                <w:rFonts w:asciiTheme="majorHAnsi" w:hAnsiTheme="majorHAnsi" w:cstheme="majorHAnsi"/>
                <w:noProof/>
              </w:rPr>
              <w:t>Empfänger und Anschrift</w:t>
            </w:r>
            <w:r w:rsidRPr="001C5159">
              <w:rPr>
                <w:rFonts w:asciiTheme="majorHAnsi" w:hAnsiTheme="majorHAnsi" w:cstheme="majorHAnsi"/>
              </w:rPr>
              <w:fldChar w:fldCharType="end"/>
            </w:r>
            <w:bookmarkEnd w:id="0"/>
          </w:p>
        </w:tc>
        <w:tc>
          <w:tcPr>
            <w:tcW w:w="4819" w:type="dxa"/>
          </w:tcPr>
          <w:p w14:paraId="2A5AC4AA" w14:textId="77777777" w:rsidR="002055D7" w:rsidRPr="001C5159" w:rsidRDefault="002055D7" w:rsidP="002055D7">
            <w:pPr>
              <w:pStyle w:val="Geschftszeichen"/>
              <w:spacing w:line="200" w:lineRule="exact"/>
              <w:rPr>
                <w:rFonts w:asciiTheme="majorHAnsi" w:hAnsiTheme="majorHAnsi" w:cstheme="majorHAnsi"/>
                <w:sz w:val="19"/>
                <w:szCs w:val="19"/>
              </w:rPr>
            </w:pPr>
            <w:r w:rsidRPr="001C5159">
              <w:rPr>
                <w:rFonts w:asciiTheme="majorHAnsi" w:hAnsiTheme="majorHAnsi" w:cstheme="majorHAnsi"/>
                <w:sz w:val="19"/>
                <w:szCs w:val="19"/>
              </w:rPr>
              <w:t xml:space="preserve">Ihr Zeichen: </w:t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/"/>
                  </w:textInput>
                </w:ffData>
              </w:fldChar>
            </w:r>
            <w:bookmarkStart w:id="1" w:name="Text3"/>
            <w:r w:rsidRPr="001C5159">
              <w:rPr>
                <w:rFonts w:asciiTheme="majorHAnsi" w:hAnsiTheme="majorHAnsi" w:cstheme="majorHAnsi"/>
                <w:sz w:val="19"/>
                <w:szCs w:val="19"/>
              </w:rPr>
              <w:instrText xml:space="preserve"> FORMTEXT </w:instrText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separate"/>
            </w:r>
            <w:r w:rsidRPr="001C5159">
              <w:rPr>
                <w:rFonts w:asciiTheme="majorHAnsi" w:hAnsiTheme="majorHAnsi" w:cstheme="majorHAnsi"/>
                <w:noProof/>
                <w:sz w:val="19"/>
                <w:szCs w:val="19"/>
              </w:rPr>
              <w:t>/</w:t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end"/>
            </w:r>
            <w:bookmarkEnd w:id="1"/>
          </w:p>
          <w:p w14:paraId="77377B4E" w14:textId="77777777" w:rsidR="002055D7" w:rsidRPr="001C5159" w:rsidRDefault="002055D7" w:rsidP="002055D7">
            <w:pPr>
              <w:pStyle w:val="Geschftszeichen"/>
              <w:spacing w:line="200" w:lineRule="exact"/>
              <w:rPr>
                <w:rFonts w:asciiTheme="majorHAnsi" w:hAnsiTheme="majorHAnsi" w:cstheme="majorHAnsi"/>
                <w:sz w:val="19"/>
                <w:szCs w:val="19"/>
              </w:rPr>
            </w:pPr>
            <w:r w:rsidRPr="001C5159">
              <w:rPr>
                <w:rFonts w:asciiTheme="majorHAnsi" w:hAnsiTheme="majorHAnsi" w:cstheme="majorHAnsi"/>
                <w:sz w:val="19"/>
                <w:szCs w:val="19"/>
              </w:rPr>
              <w:t xml:space="preserve">Ihre Nachricht vom: </w:t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/"/>
                  </w:textInput>
                </w:ffData>
              </w:fldChar>
            </w:r>
            <w:bookmarkStart w:id="2" w:name="Text4"/>
            <w:r w:rsidRPr="001C5159">
              <w:rPr>
                <w:rFonts w:asciiTheme="majorHAnsi" w:hAnsiTheme="majorHAnsi" w:cstheme="majorHAnsi"/>
                <w:sz w:val="19"/>
                <w:szCs w:val="19"/>
              </w:rPr>
              <w:instrText xml:space="preserve"> FORMTEXT </w:instrText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separate"/>
            </w:r>
            <w:r w:rsidRPr="001C5159">
              <w:rPr>
                <w:rFonts w:asciiTheme="majorHAnsi" w:hAnsiTheme="majorHAnsi" w:cstheme="majorHAnsi"/>
                <w:noProof/>
                <w:sz w:val="19"/>
                <w:szCs w:val="19"/>
              </w:rPr>
              <w:t>/</w:t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end"/>
            </w:r>
            <w:bookmarkEnd w:id="2"/>
          </w:p>
          <w:p w14:paraId="26825F77" w14:textId="77777777" w:rsidR="002055D7" w:rsidRPr="001C5159" w:rsidRDefault="002055D7" w:rsidP="002055D7">
            <w:pPr>
              <w:pStyle w:val="Geschftszeichen"/>
              <w:spacing w:line="200" w:lineRule="exact"/>
              <w:rPr>
                <w:rFonts w:asciiTheme="majorHAnsi" w:hAnsiTheme="majorHAnsi" w:cstheme="majorHAnsi"/>
                <w:sz w:val="19"/>
                <w:szCs w:val="19"/>
              </w:rPr>
            </w:pPr>
            <w:r w:rsidRPr="001C5159">
              <w:rPr>
                <w:rFonts w:asciiTheme="majorHAnsi" w:hAnsiTheme="majorHAnsi" w:cstheme="majorHAnsi"/>
                <w:sz w:val="19"/>
                <w:szCs w:val="19"/>
              </w:rPr>
              <w:t xml:space="preserve">Mein Zeichen: </w:t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/"/>
                  </w:textInput>
                </w:ffData>
              </w:fldChar>
            </w:r>
            <w:bookmarkStart w:id="3" w:name="Text5"/>
            <w:r w:rsidRPr="001C5159">
              <w:rPr>
                <w:rFonts w:asciiTheme="majorHAnsi" w:hAnsiTheme="majorHAnsi" w:cstheme="majorHAnsi"/>
                <w:sz w:val="19"/>
                <w:szCs w:val="19"/>
              </w:rPr>
              <w:instrText xml:space="preserve"> FORMTEXT </w:instrText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separate"/>
            </w:r>
            <w:r w:rsidRPr="001C5159">
              <w:rPr>
                <w:rFonts w:asciiTheme="majorHAnsi" w:hAnsiTheme="majorHAnsi" w:cstheme="majorHAnsi"/>
                <w:noProof/>
                <w:sz w:val="19"/>
                <w:szCs w:val="19"/>
              </w:rPr>
              <w:t>/</w:t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end"/>
            </w:r>
            <w:bookmarkEnd w:id="3"/>
          </w:p>
          <w:p w14:paraId="72952315" w14:textId="77777777" w:rsidR="002055D7" w:rsidRPr="001C5159" w:rsidRDefault="002055D7" w:rsidP="002055D7">
            <w:pPr>
              <w:pStyle w:val="Geschftszeichen"/>
              <w:spacing w:line="200" w:lineRule="exact"/>
              <w:rPr>
                <w:rFonts w:asciiTheme="majorHAnsi" w:hAnsiTheme="majorHAnsi" w:cstheme="majorHAnsi"/>
                <w:sz w:val="19"/>
                <w:szCs w:val="19"/>
              </w:rPr>
            </w:pPr>
            <w:r w:rsidRPr="001C5159">
              <w:rPr>
                <w:rFonts w:asciiTheme="majorHAnsi" w:hAnsiTheme="majorHAnsi" w:cstheme="majorHAnsi"/>
                <w:sz w:val="19"/>
                <w:szCs w:val="19"/>
              </w:rPr>
              <w:t xml:space="preserve">Meine Nachricht vom: </w:t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/"/>
                  </w:textInput>
                </w:ffData>
              </w:fldChar>
            </w:r>
            <w:bookmarkStart w:id="4" w:name="Text6"/>
            <w:r w:rsidRPr="001C5159">
              <w:rPr>
                <w:rFonts w:asciiTheme="majorHAnsi" w:hAnsiTheme="majorHAnsi" w:cstheme="majorHAnsi"/>
                <w:sz w:val="19"/>
                <w:szCs w:val="19"/>
              </w:rPr>
              <w:instrText xml:space="preserve"> FORMTEXT </w:instrText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separate"/>
            </w:r>
            <w:r w:rsidRPr="001C5159">
              <w:rPr>
                <w:rFonts w:asciiTheme="majorHAnsi" w:hAnsiTheme="majorHAnsi" w:cstheme="majorHAnsi"/>
                <w:noProof/>
                <w:sz w:val="19"/>
                <w:szCs w:val="19"/>
              </w:rPr>
              <w:t>/</w:t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end"/>
            </w:r>
            <w:bookmarkEnd w:id="4"/>
          </w:p>
          <w:p w14:paraId="5E6FC813" w14:textId="77777777" w:rsidR="002055D7" w:rsidRPr="001C5159" w:rsidRDefault="002055D7" w:rsidP="002055D7">
            <w:pPr>
              <w:pStyle w:val="Geschftszeichen"/>
              <w:spacing w:line="200" w:lineRule="exact"/>
              <w:rPr>
                <w:rFonts w:asciiTheme="majorHAnsi" w:hAnsiTheme="majorHAnsi" w:cstheme="majorHAnsi"/>
                <w:sz w:val="19"/>
                <w:szCs w:val="19"/>
              </w:rPr>
            </w:pPr>
          </w:p>
          <w:p w14:paraId="015B6D07" w14:textId="77777777" w:rsidR="002055D7" w:rsidRPr="001C5159" w:rsidRDefault="002055D7" w:rsidP="002055D7">
            <w:pPr>
              <w:pStyle w:val="Geschftszeichen"/>
              <w:spacing w:line="200" w:lineRule="exact"/>
              <w:rPr>
                <w:rFonts w:asciiTheme="majorHAnsi" w:hAnsiTheme="majorHAnsi" w:cstheme="majorHAnsi"/>
                <w:sz w:val="19"/>
                <w:szCs w:val="19"/>
                <w:lang w:val="it-IT"/>
              </w:rPr>
            </w:pPr>
            <w:r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Vorname Name"/>
                  </w:textInput>
                </w:ffData>
              </w:fldChar>
            </w:r>
            <w:bookmarkStart w:id="5" w:name="Text7"/>
            <w:r w:rsidRPr="001C5159">
              <w:rPr>
                <w:rFonts w:asciiTheme="majorHAnsi" w:hAnsiTheme="majorHAnsi" w:cstheme="majorHAnsi"/>
                <w:sz w:val="19"/>
                <w:szCs w:val="19"/>
                <w:lang w:val="it-IT"/>
              </w:rPr>
              <w:instrText xml:space="preserve"> FORMTEXT </w:instrText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separate"/>
            </w:r>
            <w:r w:rsidRPr="001C5159">
              <w:rPr>
                <w:rFonts w:asciiTheme="majorHAnsi" w:hAnsiTheme="majorHAnsi" w:cstheme="majorHAnsi"/>
                <w:noProof/>
                <w:sz w:val="19"/>
                <w:szCs w:val="19"/>
                <w:lang w:val="it-IT"/>
              </w:rPr>
              <w:t>Vorname Name</w:t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end"/>
            </w:r>
            <w:bookmarkEnd w:id="5"/>
          </w:p>
          <w:p w14:paraId="2B725D24" w14:textId="23F6A745" w:rsidR="002055D7" w:rsidRPr="008A607F" w:rsidRDefault="00C1022A" w:rsidP="00C1022A">
            <w:pPr>
              <w:pStyle w:val="Geschftszeichen"/>
              <w:tabs>
                <w:tab w:val="left" w:pos="1676"/>
                <w:tab w:val="right" w:pos="4819"/>
              </w:tabs>
              <w:spacing w:line="200" w:lineRule="exact"/>
              <w:jc w:val="left"/>
              <w:rPr>
                <w:rFonts w:asciiTheme="majorHAnsi" w:hAnsiTheme="majorHAnsi" w:cstheme="majorHAnsi"/>
                <w:sz w:val="19"/>
                <w:szCs w:val="19"/>
                <w:lang w:val="it-IT"/>
              </w:rPr>
            </w:pPr>
            <w:r w:rsidRPr="001C5159">
              <w:rPr>
                <w:rFonts w:asciiTheme="majorHAnsi" w:hAnsiTheme="majorHAnsi" w:cstheme="majorHAnsi"/>
                <w:sz w:val="19"/>
                <w:szCs w:val="19"/>
              </w:rPr>
              <w:tab/>
            </w:r>
            <w:r w:rsidRPr="001C5159">
              <w:rPr>
                <w:rFonts w:asciiTheme="majorHAnsi" w:hAnsiTheme="majorHAnsi" w:cstheme="majorHAnsi"/>
                <w:sz w:val="19"/>
                <w:szCs w:val="19"/>
              </w:rPr>
              <w:tab/>
            </w:r>
            <w:r w:rsidR="002055D7"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bookmarkStart w:id="6" w:name="Text8"/>
            <w:r w:rsidR="002055D7" w:rsidRPr="001C5159">
              <w:rPr>
                <w:rFonts w:asciiTheme="majorHAnsi" w:hAnsiTheme="majorHAnsi" w:cstheme="majorHAnsi"/>
                <w:sz w:val="19"/>
                <w:szCs w:val="19"/>
                <w:lang w:val="it-IT"/>
              </w:rPr>
              <w:instrText xml:space="preserve"> FORMTEXT </w:instrText>
            </w:r>
            <w:r w:rsidR="002055D7" w:rsidRPr="001C5159">
              <w:rPr>
                <w:rFonts w:asciiTheme="majorHAnsi" w:hAnsiTheme="majorHAnsi" w:cstheme="majorHAnsi"/>
                <w:sz w:val="19"/>
                <w:szCs w:val="19"/>
              </w:rPr>
            </w:r>
            <w:r w:rsidR="002055D7"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separate"/>
            </w:r>
            <w:r w:rsidR="002055D7" w:rsidRPr="001C5159">
              <w:rPr>
                <w:rFonts w:asciiTheme="majorHAnsi" w:hAnsiTheme="majorHAnsi" w:cstheme="majorHAnsi"/>
                <w:noProof/>
                <w:sz w:val="19"/>
                <w:szCs w:val="19"/>
                <w:lang w:val="it-IT"/>
              </w:rPr>
              <w:t>E-Mail</w:t>
            </w:r>
            <w:r w:rsidR="002055D7" w:rsidRPr="001C5159">
              <w:rPr>
                <w:rFonts w:asciiTheme="majorHAnsi" w:hAnsiTheme="majorHAnsi" w:cstheme="majorHAnsi"/>
                <w:sz w:val="19"/>
                <w:szCs w:val="19"/>
              </w:rPr>
              <w:fldChar w:fldCharType="end"/>
            </w:r>
            <w:bookmarkEnd w:id="6"/>
            <w:r w:rsidR="002055D7" w:rsidRPr="001C5159">
              <w:rPr>
                <w:rFonts w:asciiTheme="majorHAnsi" w:hAnsiTheme="majorHAnsi" w:cstheme="majorHAnsi"/>
                <w:sz w:val="19"/>
                <w:szCs w:val="19"/>
                <w:lang w:val="it-IT"/>
              </w:rPr>
              <w:t>@</w:t>
            </w:r>
            <w:r w:rsidR="00A073DE" w:rsidRPr="008A607F">
              <w:rPr>
                <w:rFonts w:asciiTheme="majorHAnsi" w:hAnsiTheme="majorHAnsi" w:cstheme="majorHAnsi"/>
                <w:sz w:val="19"/>
                <w:szCs w:val="19"/>
                <w:lang w:val="it-IT"/>
              </w:rPr>
              <w:t>llnl</w:t>
            </w:r>
            <w:r w:rsidR="002055D7" w:rsidRPr="008A607F">
              <w:rPr>
                <w:rFonts w:asciiTheme="majorHAnsi" w:hAnsiTheme="majorHAnsi" w:cstheme="majorHAnsi"/>
                <w:sz w:val="19"/>
                <w:szCs w:val="19"/>
                <w:lang w:val="it-IT"/>
              </w:rPr>
              <w:t>.landsh.de</w:t>
            </w:r>
          </w:p>
          <w:p w14:paraId="5D6BFF60" w14:textId="6711078C" w:rsidR="002055D7" w:rsidRPr="001C5159" w:rsidRDefault="002055D7" w:rsidP="002055D7">
            <w:pPr>
              <w:pStyle w:val="Geschftszeichen"/>
              <w:spacing w:line="200" w:lineRule="exact"/>
              <w:rPr>
                <w:rFonts w:asciiTheme="majorHAnsi" w:hAnsiTheme="majorHAnsi" w:cstheme="majorHAnsi"/>
                <w:sz w:val="19"/>
                <w:szCs w:val="19"/>
                <w:lang w:val="it-IT"/>
              </w:rPr>
            </w:pPr>
            <w:r w:rsidRPr="001C5159">
              <w:rPr>
                <w:rFonts w:asciiTheme="majorHAnsi" w:hAnsiTheme="majorHAnsi" w:cstheme="majorHAnsi"/>
                <w:sz w:val="19"/>
                <w:szCs w:val="19"/>
                <w:lang w:val="it-IT"/>
              </w:rPr>
              <w:t>Telefon:</w:t>
            </w:r>
            <w:r w:rsidR="00A073DE" w:rsidRPr="00D45917">
              <w:rPr>
                <w:rFonts w:cs="Arial"/>
                <w:sz w:val="19"/>
                <w:szCs w:val="19"/>
              </w:rPr>
              <w:t xml:space="preserve"> </w:t>
            </w:r>
            <w:r w:rsidRPr="00A073DE">
              <w:rPr>
                <w:rFonts w:asciiTheme="majorHAnsi" w:hAnsiTheme="majorHAnsi" w:cstheme="majorHAnsi"/>
                <w:color w:val="FF0000"/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/"/>
                  </w:textInput>
                </w:ffData>
              </w:fldChar>
            </w:r>
            <w:bookmarkStart w:id="7" w:name="Text9"/>
            <w:r w:rsidRPr="00A073DE">
              <w:rPr>
                <w:rFonts w:asciiTheme="majorHAnsi" w:hAnsiTheme="majorHAnsi" w:cstheme="majorHAnsi"/>
                <w:color w:val="FF0000"/>
                <w:sz w:val="19"/>
                <w:szCs w:val="19"/>
                <w:lang w:val="it-IT"/>
              </w:rPr>
              <w:instrText xml:space="preserve"> FORMTEXT </w:instrText>
            </w:r>
            <w:r w:rsidRPr="00A073DE">
              <w:rPr>
                <w:rFonts w:asciiTheme="majorHAnsi" w:hAnsiTheme="majorHAnsi" w:cstheme="majorHAnsi"/>
                <w:color w:val="FF0000"/>
                <w:sz w:val="19"/>
                <w:szCs w:val="19"/>
              </w:rPr>
            </w:r>
            <w:r w:rsidRPr="00A073DE">
              <w:rPr>
                <w:rFonts w:asciiTheme="majorHAnsi" w:hAnsiTheme="majorHAnsi" w:cstheme="majorHAnsi"/>
                <w:color w:val="FF0000"/>
                <w:sz w:val="19"/>
                <w:szCs w:val="19"/>
              </w:rPr>
              <w:fldChar w:fldCharType="separate"/>
            </w:r>
            <w:r w:rsidRPr="00A073DE">
              <w:rPr>
                <w:rFonts w:asciiTheme="majorHAnsi" w:hAnsiTheme="majorHAnsi" w:cstheme="majorHAnsi"/>
                <w:noProof/>
                <w:color w:val="FF0000"/>
                <w:sz w:val="19"/>
                <w:szCs w:val="19"/>
                <w:lang w:val="it-IT"/>
              </w:rPr>
              <w:t>/</w:t>
            </w:r>
            <w:r w:rsidRPr="00A073DE">
              <w:rPr>
                <w:rFonts w:asciiTheme="majorHAnsi" w:hAnsiTheme="majorHAnsi" w:cstheme="majorHAnsi"/>
                <w:color w:val="FF0000"/>
                <w:sz w:val="19"/>
                <w:szCs w:val="19"/>
              </w:rPr>
              <w:fldChar w:fldCharType="end"/>
            </w:r>
            <w:bookmarkEnd w:id="7"/>
          </w:p>
          <w:p w14:paraId="1330EE4A" w14:textId="5AC4B22B" w:rsidR="00694EFC" w:rsidRPr="001C5159" w:rsidRDefault="002055D7" w:rsidP="00A073DE">
            <w:pPr>
              <w:pStyle w:val="Absender"/>
              <w:rPr>
                <w:rFonts w:asciiTheme="majorHAnsi" w:hAnsiTheme="majorHAnsi" w:cstheme="majorHAnsi"/>
              </w:rPr>
            </w:pPr>
            <w:r w:rsidRPr="001C5159">
              <w:rPr>
                <w:rFonts w:asciiTheme="majorHAnsi" w:hAnsiTheme="majorHAnsi" w:cstheme="majorHAnsi"/>
                <w:szCs w:val="19"/>
              </w:rPr>
              <w:t xml:space="preserve">Telefax: </w:t>
            </w:r>
            <w:r w:rsidRPr="001C5159">
              <w:rPr>
                <w:rFonts w:asciiTheme="majorHAnsi" w:hAnsiTheme="majorHAnsi" w:cstheme="majorHAnsi"/>
                <w:szCs w:val="19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/"/>
                  </w:textInput>
                </w:ffData>
              </w:fldChar>
            </w:r>
            <w:bookmarkStart w:id="8" w:name="Text10"/>
            <w:r w:rsidRPr="001C5159">
              <w:rPr>
                <w:rFonts w:asciiTheme="majorHAnsi" w:hAnsiTheme="majorHAnsi" w:cstheme="majorHAnsi"/>
                <w:szCs w:val="19"/>
              </w:rPr>
              <w:instrText xml:space="preserve"> FORMTEXT </w:instrText>
            </w:r>
            <w:r w:rsidRPr="001C5159">
              <w:rPr>
                <w:rFonts w:asciiTheme="majorHAnsi" w:hAnsiTheme="majorHAnsi" w:cstheme="majorHAnsi"/>
                <w:szCs w:val="19"/>
              </w:rPr>
            </w:r>
            <w:r w:rsidRPr="001C5159">
              <w:rPr>
                <w:rFonts w:asciiTheme="majorHAnsi" w:hAnsiTheme="majorHAnsi" w:cstheme="majorHAnsi"/>
                <w:szCs w:val="19"/>
              </w:rPr>
              <w:fldChar w:fldCharType="separate"/>
            </w:r>
            <w:r w:rsidRPr="001C5159">
              <w:rPr>
                <w:rFonts w:asciiTheme="majorHAnsi" w:hAnsiTheme="majorHAnsi" w:cstheme="majorHAnsi"/>
                <w:noProof/>
                <w:szCs w:val="19"/>
              </w:rPr>
              <w:t>/</w:t>
            </w:r>
            <w:r w:rsidRPr="001C5159">
              <w:rPr>
                <w:rFonts w:asciiTheme="majorHAnsi" w:hAnsiTheme="majorHAnsi" w:cstheme="majorHAnsi"/>
                <w:szCs w:val="19"/>
              </w:rPr>
              <w:fldChar w:fldCharType="end"/>
            </w:r>
            <w:bookmarkEnd w:id="8"/>
          </w:p>
        </w:tc>
      </w:tr>
    </w:tbl>
    <w:p w14:paraId="4165525B" w14:textId="77777777" w:rsidR="002055D7" w:rsidRPr="001C5159" w:rsidRDefault="002055D7" w:rsidP="002055D7">
      <w:pPr>
        <w:rPr>
          <w:rFonts w:asciiTheme="majorHAnsi" w:hAnsiTheme="majorHAnsi" w:cstheme="majorHAnsi"/>
        </w:rPr>
      </w:pPr>
    </w:p>
    <w:p w14:paraId="67154CAA" w14:textId="77777777" w:rsidR="003F2371" w:rsidRPr="001C5159" w:rsidRDefault="003F2371" w:rsidP="002055D7">
      <w:pPr>
        <w:rPr>
          <w:rFonts w:asciiTheme="majorHAnsi" w:hAnsiTheme="majorHAnsi" w:cstheme="majorHAnsi"/>
          <w:szCs w:val="24"/>
        </w:rPr>
        <w:sectPr w:rsidR="003F2371" w:rsidRPr="001C5159" w:rsidSect="0066536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098" w:right="851" w:bottom="1418" w:left="1418" w:header="771" w:footer="544" w:gutter="0"/>
          <w:cols w:space="708"/>
          <w:titlePg/>
          <w:docGrid w:linePitch="360"/>
        </w:sectPr>
      </w:pPr>
    </w:p>
    <w:p w14:paraId="372B0D45" w14:textId="77777777" w:rsidR="002055D7" w:rsidRPr="001C5159" w:rsidRDefault="002055D7" w:rsidP="002055D7">
      <w:pPr>
        <w:rPr>
          <w:rFonts w:asciiTheme="majorHAnsi" w:hAnsiTheme="majorHAnsi" w:cstheme="majorHAnsi"/>
          <w:szCs w:val="24"/>
        </w:rPr>
      </w:pPr>
    </w:p>
    <w:p w14:paraId="09A8DF0B" w14:textId="77777777" w:rsidR="002D7A2D" w:rsidRPr="001C5159" w:rsidRDefault="002D7A2D" w:rsidP="002055D7">
      <w:pPr>
        <w:rPr>
          <w:rFonts w:asciiTheme="majorHAnsi" w:hAnsiTheme="majorHAnsi" w:cstheme="majorHAnsi"/>
          <w:szCs w:val="24"/>
        </w:rPr>
      </w:pPr>
    </w:p>
    <w:p w14:paraId="2E816DB5" w14:textId="77777777" w:rsidR="002055D7" w:rsidRPr="001C5159" w:rsidRDefault="002055D7" w:rsidP="002055D7">
      <w:pPr>
        <w:jc w:val="right"/>
        <w:rPr>
          <w:rFonts w:asciiTheme="majorHAnsi" w:hAnsiTheme="majorHAnsi" w:cstheme="majorHAnsi"/>
          <w:szCs w:val="24"/>
        </w:rPr>
      </w:pPr>
      <w:r w:rsidRPr="001C5159">
        <w:rPr>
          <w:rFonts w:asciiTheme="majorHAnsi" w:hAnsiTheme="majorHAnsi" w:cstheme="majorHAnsi"/>
          <w:szCs w:val="24"/>
        </w:rPr>
        <w:fldChar w:fldCharType="begin">
          <w:ffData>
            <w:name w:val="Text11"/>
            <w:enabled/>
            <w:calcOnExit w:val="0"/>
            <w:textInput>
              <w:default w:val="Datum"/>
            </w:textInput>
          </w:ffData>
        </w:fldChar>
      </w:r>
      <w:bookmarkStart w:id="9" w:name="Text11"/>
      <w:r w:rsidRPr="001C5159">
        <w:rPr>
          <w:rFonts w:asciiTheme="majorHAnsi" w:hAnsiTheme="majorHAnsi" w:cstheme="majorHAnsi"/>
          <w:szCs w:val="24"/>
        </w:rPr>
        <w:instrText xml:space="preserve"> FORMTEXT </w:instrText>
      </w:r>
      <w:r w:rsidRPr="001C5159">
        <w:rPr>
          <w:rFonts w:asciiTheme="majorHAnsi" w:hAnsiTheme="majorHAnsi" w:cstheme="majorHAnsi"/>
          <w:szCs w:val="24"/>
        </w:rPr>
      </w:r>
      <w:r w:rsidRPr="001C5159">
        <w:rPr>
          <w:rFonts w:asciiTheme="majorHAnsi" w:hAnsiTheme="majorHAnsi" w:cstheme="majorHAnsi"/>
          <w:szCs w:val="24"/>
        </w:rPr>
        <w:fldChar w:fldCharType="separate"/>
      </w:r>
      <w:r w:rsidRPr="001C5159">
        <w:rPr>
          <w:rFonts w:asciiTheme="majorHAnsi" w:hAnsiTheme="majorHAnsi" w:cstheme="majorHAnsi"/>
          <w:noProof/>
          <w:szCs w:val="24"/>
        </w:rPr>
        <w:t>Datum</w:t>
      </w:r>
      <w:r w:rsidRPr="001C5159">
        <w:rPr>
          <w:rFonts w:asciiTheme="majorHAnsi" w:hAnsiTheme="majorHAnsi" w:cstheme="majorHAnsi"/>
          <w:szCs w:val="24"/>
        </w:rPr>
        <w:fldChar w:fldCharType="end"/>
      </w:r>
      <w:bookmarkEnd w:id="9"/>
    </w:p>
    <w:p w14:paraId="365A81E3" w14:textId="77777777" w:rsidR="00FB23E7" w:rsidRPr="001C5159" w:rsidRDefault="00FB23E7" w:rsidP="00FB23E7">
      <w:pPr>
        <w:ind w:right="-142"/>
        <w:outlineLvl w:val="0"/>
        <w:rPr>
          <w:rFonts w:asciiTheme="majorHAnsi" w:hAnsiTheme="majorHAnsi" w:cstheme="majorHAnsi"/>
          <w:b/>
        </w:rPr>
      </w:pPr>
    </w:p>
    <w:p w14:paraId="49359FBB" w14:textId="1EBCAE80" w:rsidR="00FB23E7" w:rsidRPr="001C5159" w:rsidRDefault="00FB23E7" w:rsidP="00FB23E7">
      <w:pPr>
        <w:ind w:right="-142"/>
        <w:outlineLvl w:val="0"/>
        <w:rPr>
          <w:rFonts w:asciiTheme="majorHAnsi" w:hAnsiTheme="majorHAnsi" w:cstheme="majorHAnsi"/>
          <w:b/>
        </w:rPr>
      </w:pPr>
      <w:r w:rsidRPr="001C5159">
        <w:rPr>
          <w:rFonts w:asciiTheme="majorHAnsi" w:hAnsiTheme="majorHAnsi" w:cstheme="majorHAnsi"/>
          <w:b/>
        </w:rPr>
        <w:t>Mitteilung an den Zuwendungsempfänger über die Gewährung einer De-minimis-Bei</w:t>
      </w:r>
      <w:r w:rsidRPr="001C5159">
        <w:rPr>
          <w:rFonts w:asciiTheme="majorHAnsi" w:hAnsiTheme="majorHAnsi" w:cstheme="majorHAnsi"/>
          <w:b/>
        </w:rPr>
        <w:softHyphen/>
        <w:t>hilfe nach Artikel</w:t>
      </w:r>
      <w:r w:rsidR="003D44BF">
        <w:rPr>
          <w:rFonts w:asciiTheme="majorHAnsi" w:hAnsiTheme="majorHAnsi" w:cstheme="majorHAnsi"/>
          <w:b/>
        </w:rPr>
        <w:t xml:space="preserve"> 6</w:t>
      </w:r>
      <w:r w:rsidR="0047451D">
        <w:rPr>
          <w:rFonts w:asciiTheme="majorHAnsi" w:hAnsiTheme="majorHAnsi" w:cstheme="majorHAnsi"/>
          <w:b/>
        </w:rPr>
        <w:t xml:space="preserve"> der Verordnung (EU) Nr. </w:t>
      </w:r>
      <w:r w:rsidR="007A2F23">
        <w:rPr>
          <w:rFonts w:asciiTheme="majorHAnsi" w:hAnsiTheme="majorHAnsi" w:cstheme="majorHAnsi"/>
          <w:b/>
        </w:rPr>
        <w:t>2023/2831</w:t>
      </w:r>
      <w:r w:rsidRPr="001C5159">
        <w:rPr>
          <w:rFonts w:asciiTheme="majorHAnsi" w:hAnsiTheme="majorHAnsi" w:cstheme="majorHAnsi"/>
          <w:b/>
        </w:rPr>
        <w:t>:</w:t>
      </w:r>
    </w:p>
    <w:p w14:paraId="293DA09A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</w:p>
    <w:p w14:paraId="3C46FB5A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</w:p>
    <w:p w14:paraId="0A258982" w14:textId="190C3F04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Ich möchte Ihnen mitteilen, dass ich beabsichtige, Ihnen eine D</w:t>
      </w:r>
      <w:r w:rsidR="0047451D">
        <w:rPr>
          <w:rFonts w:asciiTheme="majorHAnsi" w:hAnsiTheme="majorHAnsi" w:cstheme="majorHAnsi"/>
        </w:rPr>
        <w:t>e-minimis-Beihilfe nach der Ver</w:t>
      </w:r>
      <w:r w:rsidRPr="001C5159">
        <w:rPr>
          <w:rFonts w:asciiTheme="majorHAnsi" w:hAnsiTheme="majorHAnsi" w:cstheme="majorHAnsi"/>
        </w:rPr>
        <w:t xml:space="preserve">ordnung (EU) Nr. </w:t>
      </w:r>
      <w:r w:rsidR="007A2F23">
        <w:rPr>
          <w:rFonts w:asciiTheme="majorHAnsi" w:hAnsiTheme="majorHAnsi" w:cstheme="majorHAnsi"/>
        </w:rPr>
        <w:t>2023/2831</w:t>
      </w:r>
      <w:r w:rsidRPr="001C5159">
        <w:rPr>
          <w:rFonts w:asciiTheme="majorHAnsi" w:hAnsiTheme="majorHAnsi" w:cstheme="majorHAnsi"/>
        </w:rPr>
        <w:t xml:space="preserve"> der Kommission vom </w:t>
      </w:r>
      <w:r w:rsidR="007A2F23">
        <w:rPr>
          <w:rFonts w:asciiTheme="majorHAnsi" w:hAnsiTheme="majorHAnsi" w:cstheme="majorHAnsi"/>
        </w:rPr>
        <w:t>13.12.2023</w:t>
      </w:r>
      <w:r w:rsidRPr="001C5159">
        <w:rPr>
          <w:rFonts w:asciiTheme="majorHAnsi" w:hAnsiTheme="majorHAnsi" w:cstheme="majorHAnsi"/>
        </w:rPr>
        <w:t xml:space="preserve"> über die Anwendung der Artikel 107 und 108 des Vertrags über die Arbeitsweise der Europäischen Union auf De-minimis-Beihilfen</w:t>
      </w:r>
      <w:r w:rsidRPr="001C5159">
        <w:rPr>
          <w:rStyle w:val="Funotenzeichen"/>
          <w:rFonts w:asciiTheme="majorHAnsi" w:hAnsiTheme="majorHAnsi" w:cstheme="majorHAnsi"/>
        </w:rPr>
        <w:footnoteReference w:id="1"/>
      </w:r>
      <w:r w:rsidRPr="001C5159">
        <w:rPr>
          <w:rFonts w:asciiTheme="majorHAnsi" w:hAnsiTheme="majorHAnsi" w:cstheme="majorHAnsi"/>
        </w:rPr>
        <w:t xml:space="preserve"> zu gewähren. Diese Mitteilung ist keine Förderzusage und keine Zustimmung zum vorzeitigen Maßnahmenbeginn.</w:t>
      </w:r>
    </w:p>
    <w:p w14:paraId="5D190396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</w:p>
    <w:p w14:paraId="23AB76A6" w14:textId="01D26B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Die voraussichtliche Höhe der Beihilfe wird ________</w:t>
      </w:r>
      <w:r w:rsidR="0047451D">
        <w:rPr>
          <w:rFonts w:asciiTheme="majorHAnsi" w:hAnsiTheme="majorHAnsi" w:cstheme="majorHAnsi"/>
        </w:rPr>
        <w:t>_________________ (Bruttosubventions</w:t>
      </w:r>
      <w:r w:rsidRPr="001C5159">
        <w:rPr>
          <w:rFonts w:asciiTheme="majorHAnsi" w:hAnsiTheme="majorHAnsi" w:cstheme="majorHAnsi"/>
        </w:rPr>
        <w:t>äquivalent) betragen.</w:t>
      </w:r>
    </w:p>
    <w:p w14:paraId="03F37A07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</w:p>
    <w:p w14:paraId="2E9D091B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Zweck der Beihilfe:</w:t>
      </w:r>
    </w:p>
    <w:p w14:paraId="59730AE0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</w:p>
    <w:p w14:paraId="2D752AD0" w14:textId="0553C40A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 xml:space="preserve">Bitte füllen Sie die beigefügte </w:t>
      </w:r>
      <w:r w:rsidRPr="001C5159">
        <w:rPr>
          <w:rFonts w:asciiTheme="majorHAnsi" w:hAnsiTheme="majorHAnsi" w:cstheme="majorHAnsi"/>
          <w:b/>
        </w:rPr>
        <w:t>Erklärung zum Antrag auf</w:t>
      </w:r>
      <w:r w:rsidR="0047451D">
        <w:rPr>
          <w:rFonts w:asciiTheme="majorHAnsi" w:hAnsiTheme="majorHAnsi" w:cstheme="majorHAnsi"/>
          <w:b/>
        </w:rPr>
        <w:t xml:space="preserve"> Gewährung einer De-minimis-Bei</w:t>
      </w:r>
      <w:r w:rsidRPr="001C5159">
        <w:rPr>
          <w:rFonts w:asciiTheme="majorHAnsi" w:hAnsiTheme="majorHAnsi" w:cstheme="majorHAnsi"/>
          <w:b/>
        </w:rPr>
        <w:t xml:space="preserve">hilfe </w:t>
      </w:r>
      <w:r w:rsidRPr="001C5159">
        <w:rPr>
          <w:rFonts w:asciiTheme="majorHAnsi" w:hAnsiTheme="majorHAnsi" w:cstheme="majorHAnsi"/>
        </w:rPr>
        <w:t>aus und lassen Sie mir diese unterschrieben zukommen.</w:t>
      </w:r>
    </w:p>
    <w:p w14:paraId="02F83593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</w:p>
    <w:p w14:paraId="072BEAE0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</w:p>
    <w:p w14:paraId="3ADE35C5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</w:p>
    <w:p w14:paraId="79C19F58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Ort, Datum</w:t>
      </w:r>
      <w:r w:rsidRPr="001C5159">
        <w:rPr>
          <w:rFonts w:asciiTheme="majorHAnsi" w:hAnsiTheme="majorHAnsi" w:cstheme="majorHAnsi"/>
        </w:rPr>
        <w:tab/>
      </w:r>
      <w:r w:rsidRPr="001C5159">
        <w:rPr>
          <w:rFonts w:asciiTheme="majorHAnsi" w:hAnsiTheme="majorHAnsi" w:cstheme="majorHAnsi"/>
        </w:rPr>
        <w:tab/>
      </w:r>
      <w:r w:rsidRPr="001C5159">
        <w:rPr>
          <w:rFonts w:asciiTheme="majorHAnsi" w:hAnsiTheme="majorHAnsi" w:cstheme="majorHAnsi"/>
        </w:rPr>
        <w:tab/>
      </w:r>
      <w:r w:rsidRPr="001C5159">
        <w:rPr>
          <w:rFonts w:asciiTheme="majorHAnsi" w:hAnsiTheme="majorHAnsi" w:cstheme="majorHAnsi"/>
        </w:rPr>
        <w:tab/>
      </w:r>
      <w:r w:rsidRPr="001C5159">
        <w:rPr>
          <w:rFonts w:asciiTheme="majorHAnsi" w:hAnsiTheme="majorHAnsi" w:cstheme="majorHAnsi"/>
        </w:rPr>
        <w:tab/>
        <w:t xml:space="preserve"> </w:t>
      </w:r>
      <w:r w:rsidRPr="001C5159">
        <w:rPr>
          <w:rFonts w:asciiTheme="majorHAnsi" w:hAnsiTheme="majorHAnsi" w:cstheme="majorHAnsi"/>
        </w:rPr>
        <w:tab/>
        <w:t xml:space="preserve">                              Bewilligungsbehörde</w:t>
      </w:r>
    </w:p>
    <w:p w14:paraId="140AED41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</w:p>
    <w:p w14:paraId="023C9AE1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________________________________</w:t>
      </w:r>
      <w:r w:rsidRPr="001C5159">
        <w:rPr>
          <w:rFonts w:asciiTheme="majorHAnsi" w:hAnsiTheme="majorHAnsi" w:cstheme="majorHAnsi"/>
        </w:rPr>
        <w:tab/>
        <w:t>________________________</w:t>
      </w:r>
    </w:p>
    <w:p w14:paraId="6A0E490E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</w:p>
    <w:p w14:paraId="41159B72" w14:textId="77777777" w:rsidR="00FB23E7" w:rsidRPr="001C5159" w:rsidRDefault="00FB23E7" w:rsidP="00FB23E7">
      <w:pPr>
        <w:ind w:right="-142"/>
        <w:rPr>
          <w:rFonts w:asciiTheme="majorHAnsi" w:hAnsiTheme="majorHAnsi" w:cstheme="majorHAnsi"/>
          <w:b/>
          <w:u w:val="single"/>
        </w:rPr>
      </w:pPr>
      <w:r w:rsidRPr="001C5159">
        <w:rPr>
          <w:rFonts w:asciiTheme="majorHAnsi" w:hAnsiTheme="majorHAnsi" w:cstheme="majorHAnsi"/>
          <w:b/>
          <w:u w:val="single"/>
        </w:rPr>
        <w:t>Anlagen</w:t>
      </w:r>
    </w:p>
    <w:p w14:paraId="74F92A78" w14:textId="77777777" w:rsidR="00FB23E7" w:rsidRPr="001C5159" w:rsidRDefault="00FB23E7" w:rsidP="00FB23E7">
      <w:pPr>
        <w:ind w:right="-142"/>
        <w:rPr>
          <w:rFonts w:asciiTheme="majorHAnsi" w:hAnsiTheme="majorHAnsi" w:cstheme="majorHAnsi"/>
          <w:b/>
          <w:u w:val="single"/>
        </w:rPr>
      </w:pPr>
    </w:p>
    <w:p w14:paraId="15DF376E" w14:textId="77777777" w:rsidR="00FB23E7" w:rsidRPr="001C5159" w:rsidRDefault="00FB23E7" w:rsidP="00FB23E7">
      <w:pPr>
        <w:ind w:right="-142"/>
        <w:rPr>
          <w:rFonts w:asciiTheme="majorHAnsi" w:hAnsiTheme="majorHAnsi" w:cstheme="majorHAnsi"/>
          <w:bCs/>
          <w:iCs/>
          <w:szCs w:val="24"/>
        </w:rPr>
      </w:pPr>
      <w:r w:rsidRPr="001C5159">
        <w:rPr>
          <w:rFonts w:asciiTheme="majorHAnsi" w:hAnsiTheme="majorHAnsi" w:cstheme="majorHAnsi"/>
        </w:rPr>
        <w:t>-</w:t>
      </w:r>
      <w:r w:rsidRPr="001C5159">
        <w:rPr>
          <w:rFonts w:asciiTheme="majorHAnsi" w:hAnsiTheme="majorHAnsi" w:cstheme="majorHAnsi"/>
        </w:rPr>
        <w:tab/>
      </w:r>
      <w:r w:rsidRPr="001C5159">
        <w:rPr>
          <w:rFonts w:asciiTheme="majorHAnsi" w:hAnsiTheme="majorHAnsi" w:cstheme="majorHAnsi"/>
          <w:bCs/>
          <w:iCs/>
          <w:szCs w:val="24"/>
        </w:rPr>
        <w:t>Erläuterungen zu De-minimis-Beihilfen für Zuwendungsempfänger</w:t>
      </w:r>
    </w:p>
    <w:p w14:paraId="2F5E37ED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-</w:t>
      </w:r>
      <w:r w:rsidRPr="001C5159">
        <w:rPr>
          <w:rFonts w:asciiTheme="majorHAnsi" w:hAnsiTheme="majorHAnsi" w:cstheme="majorHAnsi"/>
        </w:rPr>
        <w:tab/>
        <w:t>Erklärung über erhaltene und beantragte De-minimis-Beihilfen</w:t>
      </w:r>
    </w:p>
    <w:p w14:paraId="4C944515" w14:textId="77777777" w:rsidR="00FB23E7" w:rsidRPr="001C5159" w:rsidRDefault="00FB23E7" w:rsidP="00FB23E7">
      <w:pPr>
        <w:pStyle w:val="berschrift2"/>
        <w:spacing w:line="360" w:lineRule="exact"/>
        <w:ind w:right="-142"/>
        <w:jc w:val="right"/>
        <w:rPr>
          <w:rFonts w:asciiTheme="majorHAnsi" w:hAnsiTheme="majorHAnsi" w:cstheme="majorHAnsi"/>
          <w:b/>
          <w:i w:val="0"/>
          <w:u w:val="single"/>
        </w:rPr>
      </w:pPr>
      <w:r w:rsidRPr="001C5159">
        <w:rPr>
          <w:rFonts w:asciiTheme="majorHAnsi" w:hAnsiTheme="majorHAnsi" w:cstheme="majorHAnsi"/>
        </w:rPr>
        <w:br w:type="page"/>
      </w:r>
      <w:r w:rsidRPr="001C5159">
        <w:rPr>
          <w:rFonts w:asciiTheme="majorHAnsi" w:hAnsiTheme="majorHAnsi" w:cstheme="majorHAnsi"/>
          <w:b/>
          <w:i w:val="0"/>
          <w:u w:val="single"/>
        </w:rPr>
        <w:lastRenderedPageBreak/>
        <w:t>Anlage 1</w:t>
      </w:r>
    </w:p>
    <w:p w14:paraId="6F2B0321" w14:textId="77777777" w:rsidR="00FB23E7" w:rsidRPr="001C5159" w:rsidRDefault="00FB23E7" w:rsidP="00FB23E7">
      <w:pPr>
        <w:ind w:right="-142"/>
        <w:jc w:val="right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zur Mitteilung an den Zuwendungsempfänger</w:t>
      </w:r>
    </w:p>
    <w:p w14:paraId="6023F449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</w:p>
    <w:p w14:paraId="5E5F728E" w14:textId="77777777" w:rsidR="00FB23E7" w:rsidRPr="001C5159" w:rsidRDefault="00FB23E7" w:rsidP="00FB23E7">
      <w:pPr>
        <w:pStyle w:val="berschrift2"/>
        <w:spacing w:line="360" w:lineRule="exact"/>
        <w:ind w:right="-142"/>
        <w:rPr>
          <w:rFonts w:asciiTheme="majorHAnsi" w:hAnsiTheme="majorHAnsi" w:cstheme="majorHAnsi"/>
          <w:b/>
          <w:bCs/>
          <w:i w:val="0"/>
          <w:iCs/>
          <w:szCs w:val="24"/>
        </w:rPr>
      </w:pPr>
      <w:r w:rsidRPr="001C5159">
        <w:rPr>
          <w:rFonts w:asciiTheme="majorHAnsi" w:hAnsiTheme="majorHAnsi" w:cstheme="majorHAnsi"/>
          <w:b/>
          <w:bCs/>
          <w:i w:val="0"/>
          <w:iCs/>
          <w:szCs w:val="24"/>
        </w:rPr>
        <w:t>Erläuterungen zu De-minimis-Beihilfen für Zuwendungsempfänger</w:t>
      </w:r>
    </w:p>
    <w:p w14:paraId="0EBA89DB" w14:textId="77777777" w:rsidR="00FB23E7" w:rsidRPr="001C5159" w:rsidRDefault="00FB23E7" w:rsidP="00FB23E7">
      <w:pPr>
        <w:pStyle w:val="Textkrper31"/>
        <w:spacing w:after="0" w:line="360" w:lineRule="exact"/>
        <w:ind w:right="-142"/>
        <w:rPr>
          <w:rFonts w:asciiTheme="majorHAnsi" w:hAnsiTheme="majorHAnsi" w:cstheme="majorHAnsi"/>
          <w:szCs w:val="24"/>
        </w:rPr>
      </w:pPr>
    </w:p>
    <w:p w14:paraId="254748FD" w14:textId="77777777" w:rsidR="00FB23E7" w:rsidRPr="001C5159" w:rsidRDefault="00FB23E7" w:rsidP="00FB23E7">
      <w:pPr>
        <w:pStyle w:val="berschrift2"/>
        <w:spacing w:after="120" w:line="360" w:lineRule="exact"/>
        <w:ind w:right="-142"/>
        <w:jc w:val="left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  <w:b/>
          <w:bCs/>
          <w:i w:val="0"/>
          <w:iCs/>
          <w:szCs w:val="24"/>
        </w:rPr>
        <w:t>Einleitung</w:t>
      </w:r>
    </w:p>
    <w:p w14:paraId="3AC7CEC1" w14:textId="62AEDC65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Als Beihilfen werden Zuwendungen bezeichnet, die für das empfangende Unternehmen einen wirtschaftlichen Vorteil gegenüber einem Konkurrenzunterne</w:t>
      </w:r>
      <w:r w:rsidR="0047451D">
        <w:rPr>
          <w:rFonts w:asciiTheme="majorHAnsi" w:hAnsiTheme="majorHAnsi" w:cstheme="majorHAnsi"/>
        </w:rPr>
        <w:t>hmen bedeuten, welches eine sol</w:t>
      </w:r>
      <w:r w:rsidRPr="001C5159">
        <w:rPr>
          <w:rFonts w:asciiTheme="majorHAnsi" w:hAnsiTheme="majorHAnsi" w:cstheme="majorHAnsi"/>
        </w:rPr>
        <w:t>che Zuwendung nicht erhält. Beihilfen können unter and</w:t>
      </w:r>
      <w:r w:rsidR="0047451D">
        <w:rPr>
          <w:rFonts w:asciiTheme="majorHAnsi" w:hAnsiTheme="majorHAnsi" w:cstheme="majorHAnsi"/>
        </w:rPr>
        <w:t>erem in Form von nicht rückzahl</w:t>
      </w:r>
      <w:r w:rsidRPr="001C5159">
        <w:rPr>
          <w:rFonts w:asciiTheme="majorHAnsi" w:hAnsiTheme="majorHAnsi" w:cstheme="majorHAnsi"/>
        </w:rPr>
        <w:t>baren Zuschüssen, Bürgschaften, Steuervergünstigungen oder zinsverbilligten Darl</w:t>
      </w:r>
      <w:r w:rsidR="0047451D">
        <w:rPr>
          <w:rFonts w:asciiTheme="majorHAnsi" w:hAnsiTheme="majorHAnsi" w:cstheme="majorHAnsi"/>
        </w:rPr>
        <w:t>ehen gewährt wer</w:t>
      </w:r>
      <w:r w:rsidRPr="001C5159">
        <w:rPr>
          <w:rFonts w:asciiTheme="majorHAnsi" w:hAnsiTheme="majorHAnsi" w:cstheme="majorHAnsi"/>
        </w:rPr>
        <w:t xml:space="preserve">den. Da eine Beihilfe nur einem oder einigen Marktteilnehmern zugutekommt, kann sie nach Auffassung der Europäischen Kommission </w:t>
      </w:r>
      <w:r w:rsidR="0047451D">
        <w:rPr>
          <w:rFonts w:asciiTheme="majorHAnsi" w:hAnsiTheme="majorHAnsi" w:cstheme="majorHAnsi"/>
        </w:rPr>
        <w:t>den Wettbewerb zwischen den Bei</w:t>
      </w:r>
      <w:r w:rsidRPr="001C5159">
        <w:rPr>
          <w:rFonts w:asciiTheme="majorHAnsi" w:hAnsiTheme="majorHAnsi" w:cstheme="majorHAnsi"/>
        </w:rPr>
        <w:t>hilfeempfängern und ihren Konkurrenten verzerren. Solche wettbewerbsverzerrend</w:t>
      </w:r>
      <w:r w:rsidR="0047451D">
        <w:rPr>
          <w:rFonts w:asciiTheme="majorHAnsi" w:hAnsiTheme="majorHAnsi" w:cstheme="majorHAnsi"/>
        </w:rPr>
        <w:t>en Beihil</w:t>
      </w:r>
      <w:r w:rsidRPr="001C5159">
        <w:rPr>
          <w:rFonts w:asciiTheme="majorHAnsi" w:hAnsiTheme="majorHAnsi" w:cstheme="majorHAnsi"/>
        </w:rPr>
        <w:t>fen an Unternehmen oder Produktionszweige sind in der Europäischen Union verboten, wenn sie den Handel zwischen den EU-Mitgliedstaaten beeinträc</w:t>
      </w:r>
      <w:r w:rsidR="0047451D">
        <w:rPr>
          <w:rFonts w:asciiTheme="majorHAnsi" w:hAnsiTheme="majorHAnsi" w:cstheme="majorHAnsi"/>
        </w:rPr>
        <w:t>htigen (Art. 107 Abs. 1 des Ver</w:t>
      </w:r>
      <w:r w:rsidRPr="001C5159">
        <w:rPr>
          <w:rFonts w:asciiTheme="majorHAnsi" w:hAnsiTheme="majorHAnsi" w:cstheme="majorHAnsi"/>
        </w:rPr>
        <w:t>trages über die Arbeitsweise der Europäischen Union (AEUV)).</w:t>
      </w:r>
    </w:p>
    <w:p w14:paraId="1E538879" w14:textId="77777777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</w:p>
    <w:p w14:paraId="05A752F1" w14:textId="35DEEEE3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 xml:space="preserve">Manche Beihilfen (sog. </w:t>
      </w:r>
      <w:r w:rsidRPr="001C5159">
        <w:rPr>
          <w:rFonts w:asciiTheme="majorHAnsi" w:hAnsiTheme="majorHAnsi" w:cstheme="majorHAnsi"/>
          <w:bCs/>
        </w:rPr>
        <w:t>De-minimis-Beihilfen</w:t>
      </w:r>
      <w:r w:rsidRPr="001C5159">
        <w:rPr>
          <w:rFonts w:asciiTheme="majorHAnsi" w:hAnsiTheme="majorHAnsi" w:cstheme="majorHAnsi"/>
        </w:rPr>
        <w:t>) sind so gering, dass ihre Auswirkungen auf den Wettbewerb nicht spürbar sind. Sie müssen daher ni</w:t>
      </w:r>
      <w:r w:rsidR="0047451D">
        <w:rPr>
          <w:rFonts w:asciiTheme="majorHAnsi" w:hAnsiTheme="majorHAnsi" w:cstheme="majorHAnsi"/>
        </w:rPr>
        <w:t>cht von der Europäischen Kommission ge</w:t>
      </w:r>
      <w:r w:rsidRPr="001C5159">
        <w:rPr>
          <w:rFonts w:asciiTheme="majorHAnsi" w:hAnsiTheme="majorHAnsi" w:cstheme="majorHAnsi"/>
        </w:rPr>
        <w:t>nehmigt werden, sondern können ohne deren Zustimmung von den Mitgliedstaaten direk</w:t>
      </w:r>
      <w:r w:rsidR="0047451D">
        <w:rPr>
          <w:rFonts w:asciiTheme="majorHAnsi" w:hAnsiTheme="majorHAnsi" w:cstheme="majorHAnsi"/>
        </w:rPr>
        <w:t>t ge</w:t>
      </w:r>
      <w:r w:rsidRPr="001C5159">
        <w:rPr>
          <w:rFonts w:asciiTheme="majorHAnsi" w:hAnsiTheme="majorHAnsi" w:cstheme="majorHAnsi"/>
        </w:rPr>
        <w:t>währt werden. Allerdings hat die Europäische Kom</w:t>
      </w:r>
      <w:r w:rsidR="0047451D">
        <w:rPr>
          <w:rFonts w:asciiTheme="majorHAnsi" w:hAnsiTheme="majorHAnsi" w:cstheme="majorHAnsi"/>
        </w:rPr>
        <w:t>mission das Recht, die Durchfüh</w:t>
      </w:r>
      <w:r w:rsidRPr="001C5159">
        <w:rPr>
          <w:rFonts w:asciiTheme="majorHAnsi" w:hAnsiTheme="majorHAnsi" w:cstheme="majorHAnsi"/>
        </w:rPr>
        <w:t>rung dieser Maßnahme zu kontrollieren. Ihre Gewährung ist daher an bestimmte Bedingungen geknüpft.</w:t>
      </w:r>
    </w:p>
    <w:p w14:paraId="7F2597E0" w14:textId="77777777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</w:p>
    <w:p w14:paraId="604072A5" w14:textId="77777777" w:rsidR="00FB23E7" w:rsidRPr="001C5159" w:rsidRDefault="00FB23E7" w:rsidP="00FB23E7">
      <w:pPr>
        <w:pStyle w:val="berschrift2"/>
        <w:spacing w:after="120" w:line="360" w:lineRule="exact"/>
        <w:ind w:right="-142"/>
        <w:jc w:val="left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  <w:b/>
          <w:bCs/>
          <w:i w:val="0"/>
          <w:iCs/>
          <w:szCs w:val="24"/>
        </w:rPr>
        <w:t>Rechtsgrundlage</w:t>
      </w:r>
    </w:p>
    <w:p w14:paraId="237B10F7" w14:textId="3414FC91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 xml:space="preserve">Rechtsgrundlage für die Gewährung von gewerblichen De-minimis-Beihilfen ist die Verordnung (EU) Nr. </w:t>
      </w:r>
      <w:r w:rsidR="007A2F23">
        <w:rPr>
          <w:rFonts w:asciiTheme="majorHAnsi" w:hAnsiTheme="majorHAnsi" w:cstheme="majorHAnsi"/>
        </w:rPr>
        <w:t>2023/2831</w:t>
      </w:r>
      <w:r w:rsidR="0047451D">
        <w:rPr>
          <w:rFonts w:asciiTheme="majorHAnsi" w:hAnsiTheme="majorHAnsi" w:cstheme="majorHAnsi"/>
        </w:rPr>
        <w:t xml:space="preserve"> der Euro</w:t>
      </w:r>
      <w:r w:rsidRPr="001C5159">
        <w:rPr>
          <w:rFonts w:asciiTheme="majorHAnsi" w:hAnsiTheme="majorHAnsi" w:cstheme="majorHAnsi"/>
        </w:rPr>
        <w:t xml:space="preserve">päischen Kommission vom </w:t>
      </w:r>
      <w:r w:rsidR="007A2F23">
        <w:rPr>
          <w:rFonts w:asciiTheme="majorHAnsi" w:hAnsiTheme="majorHAnsi" w:cstheme="majorHAnsi"/>
        </w:rPr>
        <w:t>13.12.2023</w:t>
      </w:r>
      <w:r w:rsidRPr="001C5159">
        <w:rPr>
          <w:rFonts w:asciiTheme="majorHAnsi" w:hAnsiTheme="majorHAnsi" w:cstheme="majorHAnsi"/>
        </w:rPr>
        <w:t xml:space="preserve"> über die Anwendung der Artikel 107 und 108 AEUV auf De-minimis-Beihilfen, veröffen</w:t>
      </w:r>
      <w:r w:rsidR="0047451D">
        <w:rPr>
          <w:rFonts w:asciiTheme="majorHAnsi" w:hAnsiTheme="majorHAnsi" w:cstheme="majorHAnsi"/>
        </w:rPr>
        <w:t>tlicht im Amtsblatt der Europäi</w:t>
      </w:r>
      <w:r w:rsidRPr="001C5159">
        <w:rPr>
          <w:rFonts w:asciiTheme="majorHAnsi" w:hAnsiTheme="majorHAnsi" w:cstheme="majorHAnsi"/>
        </w:rPr>
        <w:t xml:space="preserve">schen Union vom </w:t>
      </w:r>
      <w:r w:rsidR="007A2F23">
        <w:rPr>
          <w:rFonts w:asciiTheme="majorHAnsi" w:hAnsiTheme="majorHAnsi" w:cstheme="majorHAnsi"/>
        </w:rPr>
        <w:t>15.12.2023</w:t>
      </w:r>
      <w:r w:rsidRPr="001C5159">
        <w:rPr>
          <w:rFonts w:asciiTheme="majorHAnsi" w:hAnsiTheme="majorHAnsi" w:cstheme="majorHAnsi"/>
        </w:rPr>
        <w:t xml:space="preserve">, Nr. L </w:t>
      </w:r>
    </w:p>
    <w:p w14:paraId="43469239" w14:textId="77777777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</w:p>
    <w:p w14:paraId="05645AEB" w14:textId="77777777" w:rsidR="00FB23E7" w:rsidRPr="001C5159" w:rsidRDefault="00FB23E7" w:rsidP="00FB23E7">
      <w:pPr>
        <w:pStyle w:val="berschrift2"/>
        <w:spacing w:after="120" w:line="360" w:lineRule="exact"/>
        <w:ind w:right="-142"/>
        <w:jc w:val="left"/>
        <w:rPr>
          <w:rFonts w:asciiTheme="majorHAnsi" w:hAnsiTheme="majorHAnsi" w:cstheme="majorHAnsi"/>
          <w:b/>
          <w:i w:val="0"/>
        </w:rPr>
      </w:pPr>
      <w:r w:rsidRPr="001C5159">
        <w:rPr>
          <w:rFonts w:asciiTheme="majorHAnsi" w:hAnsiTheme="majorHAnsi" w:cstheme="majorHAnsi"/>
          <w:b/>
          <w:i w:val="0"/>
        </w:rPr>
        <w:t>Bruttosubventionsäquivalent</w:t>
      </w:r>
    </w:p>
    <w:p w14:paraId="7600A469" w14:textId="1FB61508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Da es unterschiedliche Beihilfearten gibt, ist der finanzielle Vorteil so darzustellen, dass alle Beihilfearten miteinander verglichen werden können. Aus diesem Grund wird für jede De-minimis-Beihilfe berechnet, mit welchem Geldbetrag die durch si</w:t>
      </w:r>
      <w:r w:rsidR="0047451D">
        <w:rPr>
          <w:rFonts w:asciiTheme="majorHAnsi" w:hAnsiTheme="majorHAnsi" w:cstheme="majorHAnsi"/>
        </w:rPr>
        <w:t>e gewährte Vergünstigung gleich</w:t>
      </w:r>
      <w:r w:rsidRPr="001C5159">
        <w:rPr>
          <w:rFonts w:asciiTheme="majorHAnsi" w:hAnsiTheme="majorHAnsi" w:cstheme="majorHAnsi"/>
        </w:rPr>
        <w:t>gesetzt werden kann. Der Betrag dieser Vergünstigung wird als Subventionswert oder auch Bruttosubventionsäquivalent bezeichnet.</w:t>
      </w:r>
    </w:p>
    <w:p w14:paraId="11B05572" w14:textId="77777777" w:rsidR="00FB23E7" w:rsidRPr="001C5159" w:rsidRDefault="00FB23E7" w:rsidP="00FB23E7">
      <w:pPr>
        <w:pStyle w:val="berschrift2"/>
        <w:keepNext w:val="0"/>
        <w:spacing w:line="360" w:lineRule="exact"/>
        <w:ind w:right="-142"/>
        <w:jc w:val="left"/>
        <w:rPr>
          <w:rFonts w:asciiTheme="majorHAnsi" w:hAnsiTheme="majorHAnsi" w:cstheme="majorHAnsi"/>
          <w:b/>
          <w:bCs/>
          <w:i w:val="0"/>
          <w:iCs/>
          <w:szCs w:val="24"/>
        </w:rPr>
      </w:pPr>
    </w:p>
    <w:p w14:paraId="34CAAF49" w14:textId="77777777" w:rsidR="00FB23E7" w:rsidRPr="001C5159" w:rsidRDefault="00FB23E7" w:rsidP="00FB23E7">
      <w:pPr>
        <w:pStyle w:val="berschrift2"/>
        <w:spacing w:after="120" w:line="360" w:lineRule="exact"/>
        <w:ind w:right="-142"/>
        <w:jc w:val="left"/>
        <w:rPr>
          <w:rFonts w:asciiTheme="majorHAnsi" w:hAnsiTheme="majorHAnsi" w:cstheme="majorHAnsi"/>
          <w:b/>
          <w:bCs/>
          <w:i w:val="0"/>
          <w:iCs/>
          <w:szCs w:val="24"/>
        </w:rPr>
      </w:pPr>
      <w:r w:rsidRPr="001C5159">
        <w:rPr>
          <w:rFonts w:asciiTheme="majorHAnsi" w:hAnsiTheme="majorHAnsi" w:cstheme="majorHAnsi"/>
          <w:b/>
          <w:bCs/>
          <w:i w:val="0"/>
          <w:iCs/>
          <w:szCs w:val="24"/>
        </w:rPr>
        <w:lastRenderedPageBreak/>
        <w:t>De-minimis-Höchstbetrag</w:t>
      </w:r>
    </w:p>
    <w:p w14:paraId="5EB35830" w14:textId="15C8E55B" w:rsidR="00FB23E7" w:rsidRPr="001C5159" w:rsidRDefault="00FB23E7" w:rsidP="00FB23E7">
      <w:pPr>
        <w:pStyle w:val="StandardWeb"/>
        <w:widowControl w:val="0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Damit die als De-minimis-Beihilfen bezeichneten Subvention</w:t>
      </w:r>
      <w:r w:rsidR="0047451D">
        <w:rPr>
          <w:rFonts w:asciiTheme="majorHAnsi" w:hAnsiTheme="majorHAnsi" w:cstheme="majorHAnsi"/>
        </w:rPr>
        <w:t>en nicht dadurch, dass ein Zuwen</w:t>
      </w:r>
      <w:r w:rsidRPr="001C5159">
        <w:rPr>
          <w:rFonts w:asciiTheme="majorHAnsi" w:hAnsiTheme="majorHAnsi" w:cstheme="majorHAnsi"/>
        </w:rPr>
        <w:t>dungsempfänger mehrere Subventionen dieser Art s</w:t>
      </w:r>
      <w:r w:rsidR="0047451D">
        <w:rPr>
          <w:rFonts w:asciiTheme="majorHAnsi" w:hAnsiTheme="majorHAnsi" w:cstheme="majorHAnsi"/>
        </w:rPr>
        <w:t>ammelt, doch noch zu einer Wettbewerbs</w:t>
      </w:r>
      <w:r w:rsidRPr="001C5159">
        <w:rPr>
          <w:rFonts w:asciiTheme="majorHAnsi" w:hAnsiTheme="majorHAnsi" w:cstheme="majorHAnsi"/>
        </w:rPr>
        <w:t xml:space="preserve">verzerrung führen, ist der Subventionswert aller für einen Zuwendungsempfänger im Anwendungsbereich der Verordnung (EU) Nr. </w:t>
      </w:r>
      <w:r w:rsidR="007A2F23">
        <w:rPr>
          <w:rFonts w:asciiTheme="majorHAnsi" w:hAnsiTheme="majorHAnsi" w:cstheme="majorHAnsi"/>
        </w:rPr>
        <w:t>2023/2831</w:t>
      </w:r>
      <w:r w:rsidRPr="001C5159">
        <w:rPr>
          <w:rFonts w:asciiTheme="majorHAnsi" w:hAnsiTheme="majorHAnsi" w:cstheme="majorHAnsi"/>
        </w:rPr>
        <w:t xml:space="preserve"> zulässigen De-minimis-Bei</w:t>
      </w:r>
      <w:r w:rsidRPr="001C5159">
        <w:rPr>
          <w:rFonts w:asciiTheme="majorHAnsi" w:hAnsiTheme="majorHAnsi" w:cstheme="majorHAnsi"/>
        </w:rPr>
        <w:softHyphen/>
        <w:t xml:space="preserve">hilfen auf </w:t>
      </w:r>
      <w:r w:rsidR="007A2F23">
        <w:rPr>
          <w:rFonts w:asciiTheme="majorHAnsi" w:hAnsiTheme="majorHAnsi" w:cstheme="majorHAnsi"/>
        </w:rPr>
        <w:t>3</w:t>
      </w:r>
      <w:r w:rsidR="007A2F23" w:rsidRPr="001C5159">
        <w:rPr>
          <w:rFonts w:asciiTheme="majorHAnsi" w:hAnsiTheme="majorHAnsi" w:cstheme="majorHAnsi"/>
        </w:rPr>
        <w:t>00</w:t>
      </w:r>
      <w:r w:rsidRPr="001C5159">
        <w:rPr>
          <w:rFonts w:asciiTheme="majorHAnsi" w:hAnsiTheme="majorHAnsi" w:cstheme="majorHAnsi"/>
        </w:rPr>
        <w:t>.000 Euro innerhalb von drei Steuerjahren (Kalenderjahren) begrenzt. Bei jeder Neubewilligung einer De-minimis-Beihilfe muss sichergestellt sein, dass die Ge</w:t>
      </w:r>
      <w:r w:rsidR="0047451D">
        <w:rPr>
          <w:rFonts w:asciiTheme="majorHAnsi" w:hAnsiTheme="majorHAnsi" w:cstheme="majorHAnsi"/>
        </w:rPr>
        <w:t>samtsumme der im laufenden Steu</w:t>
      </w:r>
      <w:r w:rsidRPr="001C5159">
        <w:rPr>
          <w:rFonts w:asciiTheme="majorHAnsi" w:hAnsiTheme="majorHAnsi" w:cstheme="majorHAnsi"/>
        </w:rPr>
        <w:t>erjahr sowie in den zwei vorangegangenen Steuerjahren gewährten De-minimis-Beihilfen diese Schwellenwerte nicht überschreitet.</w:t>
      </w:r>
    </w:p>
    <w:p w14:paraId="214B0D05" w14:textId="77777777" w:rsidR="00FB23E7" w:rsidRPr="001C5159" w:rsidRDefault="00FB23E7" w:rsidP="00FB23E7">
      <w:pPr>
        <w:pStyle w:val="StandardWeb"/>
        <w:widowControl w:val="0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</w:p>
    <w:p w14:paraId="573F3BA7" w14:textId="72BCB47F" w:rsidR="00FB23E7" w:rsidRPr="001C5159" w:rsidRDefault="00FB23E7" w:rsidP="00FB23E7">
      <w:pPr>
        <w:pStyle w:val="StandardWeb"/>
        <w:widowControl w:val="0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 xml:space="preserve">Dabei ist nicht nur auf den direkten Zuwendungsempfänger, sondern ggf. auch auf mit dem Zuwendungsempfänger „verbundene“ Unternehmen abzustellen (sog. </w:t>
      </w:r>
      <w:r w:rsidR="0047451D">
        <w:rPr>
          <w:rFonts w:asciiTheme="majorHAnsi" w:hAnsiTheme="majorHAnsi" w:cstheme="majorHAnsi"/>
        </w:rPr>
        <w:t>„einziges Unterneh</w:t>
      </w:r>
      <w:r w:rsidRPr="001C5159">
        <w:rPr>
          <w:rFonts w:asciiTheme="majorHAnsi" w:hAnsiTheme="majorHAnsi" w:cstheme="majorHAnsi"/>
        </w:rPr>
        <w:t>men“). Mehrere miteinander verbundene Unternehmen sind als ein einziges Unternehmen anzusehen, wenn eines der folgenden Kriterien erfüllt ist:</w:t>
      </w:r>
    </w:p>
    <w:p w14:paraId="2FE05068" w14:textId="77777777" w:rsidR="00FB23E7" w:rsidRPr="001C5159" w:rsidRDefault="00FB23E7" w:rsidP="00FB23E7">
      <w:pPr>
        <w:pStyle w:val="StandardWeb"/>
        <w:widowControl w:val="0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</w:p>
    <w:p w14:paraId="4B797E59" w14:textId="27D39448" w:rsidR="00FB23E7" w:rsidRPr="001C5159" w:rsidRDefault="00FB23E7" w:rsidP="00FB23E7">
      <w:pPr>
        <w:tabs>
          <w:tab w:val="left" w:pos="426"/>
        </w:tabs>
        <w:ind w:left="426" w:right="-142" w:hanging="426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-</w:t>
      </w:r>
      <w:r w:rsidRPr="001C5159">
        <w:rPr>
          <w:rFonts w:asciiTheme="majorHAnsi" w:hAnsiTheme="majorHAnsi" w:cstheme="majorHAnsi"/>
        </w:rPr>
        <w:tab/>
        <w:t>Ein Unternehmen hält die Mehrheit der Stimmrechte der</w:t>
      </w:r>
      <w:r w:rsidR="0047451D">
        <w:rPr>
          <w:rFonts w:asciiTheme="majorHAnsi" w:hAnsiTheme="majorHAnsi" w:cstheme="majorHAnsi"/>
        </w:rPr>
        <w:t xml:space="preserve"> Anteilseigner oder Gesellschaf</w:t>
      </w:r>
      <w:r w:rsidRPr="001C5159">
        <w:rPr>
          <w:rFonts w:asciiTheme="majorHAnsi" w:hAnsiTheme="majorHAnsi" w:cstheme="majorHAnsi"/>
        </w:rPr>
        <w:t>ter eines anderen Unternehmens;</w:t>
      </w:r>
    </w:p>
    <w:p w14:paraId="0EF0EAA3" w14:textId="77777777" w:rsidR="00FB23E7" w:rsidRPr="001C5159" w:rsidRDefault="00FB23E7" w:rsidP="00FB23E7">
      <w:pPr>
        <w:tabs>
          <w:tab w:val="left" w:pos="426"/>
        </w:tabs>
        <w:ind w:left="426" w:right="-142" w:hanging="426"/>
        <w:rPr>
          <w:rFonts w:asciiTheme="majorHAnsi" w:hAnsiTheme="majorHAnsi" w:cstheme="majorHAnsi"/>
        </w:rPr>
      </w:pPr>
    </w:p>
    <w:p w14:paraId="4B661B92" w14:textId="77777777" w:rsidR="00FB23E7" w:rsidRPr="001C5159" w:rsidRDefault="00FB23E7" w:rsidP="00FB23E7">
      <w:pPr>
        <w:tabs>
          <w:tab w:val="left" w:pos="426"/>
        </w:tabs>
        <w:ind w:left="426" w:right="-142" w:hanging="426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-</w:t>
      </w:r>
      <w:r w:rsidRPr="001C5159">
        <w:rPr>
          <w:rFonts w:asciiTheme="majorHAnsi" w:hAnsiTheme="majorHAnsi" w:cstheme="majorHAnsi"/>
        </w:rPr>
        <w:tab/>
        <w:t>ein Unternehmen ist berechtigt, die Mehrheit der Mitglieder des Verwaltungs-, Leitungs- oder Aufsichtsgremiums eines anderen Unternehmens zu bestellen oder abzuberufen;</w:t>
      </w:r>
    </w:p>
    <w:p w14:paraId="273C9E43" w14:textId="77777777" w:rsidR="00FB23E7" w:rsidRPr="001C5159" w:rsidRDefault="00FB23E7" w:rsidP="00FB23E7">
      <w:pPr>
        <w:tabs>
          <w:tab w:val="left" w:pos="426"/>
        </w:tabs>
        <w:ind w:left="426" w:right="-142" w:hanging="426"/>
        <w:rPr>
          <w:rFonts w:asciiTheme="majorHAnsi" w:hAnsiTheme="majorHAnsi" w:cstheme="majorHAnsi"/>
        </w:rPr>
      </w:pPr>
    </w:p>
    <w:p w14:paraId="5B902B3B" w14:textId="3D99D50B" w:rsidR="00FB23E7" w:rsidRPr="001C5159" w:rsidRDefault="00FB23E7" w:rsidP="00FB23E7">
      <w:pPr>
        <w:tabs>
          <w:tab w:val="left" w:pos="426"/>
        </w:tabs>
        <w:ind w:left="426" w:right="-142" w:hanging="426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-</w:t>
      </w:r>
      <w:r w:rsidRPr="001C5159">
        <w:rPr>
          <w:rFonts w:asciiTheme="majorHAnsi" w:hAnsiTheme="majorHAnsi" w:cstheme="majorHAnsi"/>
        </w:rPr>
        <w:tab/>
        <w:t>ein Unternehmen ist gemäß eines mit einem anderen Unter</w:t>
      </w:r>
      <w:r w:rsidR="0047451D">
        <w:rPr>
          <w:rFonts w:asciiTheme="majorHAnsi" w:hAnsiTheme="majorHAnsi" w:cstheme="majorHAnsi"/>
        </w:rPr>
        <w:t>nehmen geschlossenen Ver</w:t>
      </w:r>
      <w:r w:rsidRPr="001C5159">
        <w:rPr>
          <w:rFonts w:asciiTheme="majorHAnsi" w:hAnsiTheme="majorHAnsi" w:cstheme="majorHAnsi"/>
        </w:rPr>
        <w:t>trags oder aufgrund einer Klausel in dessen Satzung berechtigt, einen beherrschenden Einfluss auf dieses Unternehmen auszuüben;</w:t>
      </w:r>
    </w:p>
    <w:p w14:paraId="44D76DCB" w14:textId="77777777" w:rsidR="00FB23E7" w:rsidRPr="001C5159" w:rsidRDefault="00FB23E7" w:rsidP="00FB23E7">
      <w:pPr>
        <w:tabs>
          <w:tab w:val="left" w:pos="426"/>
        </w:tabs>
        <w:ind w:left="426" w:right="-142" w:hanging="426"/>
        <w:rPr>
          <w:rFonts w:asciiTheme="majorHAnsi" w:hAnsiTheme="majorHAnsi" w:cstheme="majorHAnsi"/>
        </w:rPr>
      </w:pPr>
    </w:p>
    <w:p w14:paraId="179BEC26" w14:textId="1E8EE404" w:rsidR="00FB23E7" w:rsidRPr="001C5159" w:rsidRDefault="00FB23E7" w:rsidP="00FB23E7">
      <w:pPr>
        <w:tabs>
          <w:tab w:val="left" w:pos="426"/>
        </w:tabs>
        <w:ind w:left="426" w:right="-142" w:hanging="426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-</w:t>
      </w:r>
      <w:r w:rsidRPr="001C5159">
        <w:rPr>
          <w:rFonts w:asciiTheme="majorHAnsi" w:hAnsiTheme="majorHAnsi" w:cstheme="majorHAnsi"/>
        </w:rPr>
        <w:tab/>
        <w:t>ein Unternehmen, das Anteilseigner oder Gesellschafter eines anderen Unternehmens ist, übt gemäß einer mit anderen Anteilseignern oder Gesel</w:t>
      </w:r>
      <w:r w:rsidR="0047451D">
        <w:rPr>
          <w:rFonts w:asciiTheme="majorHAnsi" w:hAnsiTheme="majorHAnsi" w:cstheme="majorHAnsi"/>
        </w:rPr>
        <w:t>lschaftern dieses anderen Unter</w:t>
      </w:r>
      <w:r w:rsidRPr="001C5159">
        <w:rPr>
          <w:rFonts w:asciiTheme="majorHAnsi" w:hAnsiTheme="majorHAnsi" w:cstheme="majorHAnsi"/>
        </w:rPr>
        <w:t>nehmens getroffenen Vereinbarung die alleinige Kontro</w:t>
      </w:r>
      <w:r w:rsidR="0047451D">
        <w:rPr>
          <w:rFonts w:asciiTheme="majorHAnsi" w:hAnsiTheme="majorHAnsi" w:cstheme="majorHAnsi"/>
        </w:rPr>
        <w:t>lle über die Mehrheit der Stimm</w:t>
      </w:r>
      <w:r w:rsidRPr="001C5159">
        <w:rPr>
          <w:rFonts w:asciiTheme="majorHAnsi" w:hAnsiTheme="majorHAnsi" w:cstheme="majorHAnsi"/>
        </w:rPr>
        <w:t>rechte von dessen Anteilseignern oder Gesellschaftern aus.</w:t>
      </w:r>
    </w:p>
    <w:p w14:paraId="53BF3AC1" w14:textId="77777777" w:rsidR="00FB23E7" w:rsidRPr="001C5159" w:rsidRDefault="00FB23E7" w:rsidP="00FB23E7">
      <w:pPr>
        <w:ind w:left="680" w:right="-142" w:hanging="680"/>
        <w:rPr>
          <w:rFonts w:asciiTheme="majorHAnsi" w:hAnsiTheme="majorHAnsi" w:cstheme="majorHAnsi"/>
        </w:rPr>
      </w:pPr>
    </w:p>
    <w:p w14:paraId="6A3DECDB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Auch Unternehmen, die über ein anderes Unternehmen oder mehrere andere Unternehmen zueinander in einer der oben genannten Beziehungen stehen, werden als ein einziges Unter</w:t>
      </w:r>
      <w:r w:rsidRPr="001C5159">
        <w:rPr>
          <w:rFonts w:asciiTheme="majorHAnsi" w:hAnsiTheme="majorHAnsi" w:cstheme="majorHAnsi"/>
        </w:rPr>
        <w:softHyphen/>
        <w:t>nehmen betrachtet. Eine Verbindung zwischen Unternehmen über natürliche Personen findet bei den vg. Überlegungen keine Berücksichtigung.</w:t>
      </w:r>
    </w:p>
    <w:p w14:paraId="64B4793B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</w:p>
    <w:p w14:paraId="7A9BA6F2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Im Falle von Unternehmensfusionen oder – übernahmen müssen alle De-minimis-Beihilfen, die den jeweiligen Unternehmen im laufenden und in den vorangegangenen zwei Jahren gewährten wurden, bei der Prüfung der Einhaltung der Obergrenze berücksichtigt werden. Die Rechtmäßigkeit der zuvor gewährten De-minimis-Beihilfen wird dadurch aber nicht in Frage gestellt.</w:t>
      </w:r>
    </w:p>
    <w:p w14:paraId="40607BF0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</w:p>
    <w:p w14:paraId="507F80ED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 xml:space="preserve">Im Falle von Unternehmensaufspaltungen müssen die zuvor erhaltenen De-minimis-Beihilfen nach Möglichkeit den jeweiligen Betriebsteilen zugewiesen werden. Ist das nicht </w:t>
      </w:r>
      <w:r w:rsidRPr="001C5159">
        <w:rPr>
          <w:rFonts w:asciiTheme="majorHAnsi" w:hAnsiTheme="majorHAnsi" w:cstheme="majorHAnsi"/>
        </w:rPr>
        <w:lastRenderedPageBreak/>
        <w:t>möglich, erfolgt eine Zuweisung auf der Grundlage des Buchwerts des Eigenkapitals der neuen Unternehmen.</w:t>
      </w:r>
    </w:p>
    <w:p w14:paraId="4681DCAA" w14:textId="77777777" w:rsidR="00FB23E7" w:rsidRPr="001C5159" w:rsidRDefault="00FB23E7" w:rsidP="00FB23E7">
      <w:pPr>
        <w:ind w:right="-142"/>
        <w:rPr>
          <w:rFonts w:asciiTheme="majorHAnsi" w:hAnsiTheme="majorHAnsi" w:cstheme="majorHAnsi"/>
        </w:rPr>
      </w:pPr>
    </w:p>
    <w:p w14:paraId="7EFB340E" w14:textId="77777777" w:rsidR="00FB23E7" w:rsidRPr="001C5159" w:rsidRDefault="00FB23E7" w:rsidP="00FB23E7">
      <w:pPr>
        <w:pStyle w:val="StandardWeb"/>
        <w:keepNext/>
        <w:widowControl w:val="0"/>
        <w:spacing w:before="0" w:beforeAutospacing="0" w:after="120" w:afterAutospacing="0" w:line="360" w:lineRule="exact"/>
        <w:ind w:right="-142"/>
        <w:rPr>
          <w:rFonts w:asciiTheme="majorHAnsi" w:hAnsiTheme="majorHAnsi" w:cstheme="majorHAnsi"/>
          <w:b/>
        </w:rPr>
      </w:pPr>
      <w:r w:rsidRPr="001C5159">
        <w:rPr>
          <w:rFonts w:asciiTheme="majorHAnsi" w:hAnsiTheme="majorHAnsi" w:cstheme="majorHAnsi"/>
          <w:b/>
        </w:rPr>
        <w:t>Kumulierung mit anderen De-minimis-Beihilfen</w:t>
      </w:r>
    </w:p>
    <w:p w14:paraId="0608F62D" w14:textId="57451296" w:rsidR="00FB23E7" w:rsidRPr="001C5159" w:rsidRDefault="00FB23E7" w:rsidP="00FB23E7">
      <w:pPr>
        <w:pStyle w:val="StandardWeb"/>
        <w:widowControl w:val="0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>Unternehmen der Forstwirtschaft, der Verarbeitung und Vermarktung landwirtschaftlicher Erzeugnisse oder auch sonstiger Bereiche (= gewerblicher Bereich) können auch in anderen Bereichen tätig sein und dafür De-minimis-Beihilfen erhalten, z. B. im</w:t>
      </w:r>
      <w:r w:rsidR="00C1022A" w:rsidRPr="001C5159">
        <w:rPr>
          <w:rFonts w:asciiTheme="majorHAnsi" w:hAnsiTheme="majorHAnsi" w:cstheme="majorHAnsi"/>
        </w:rPr>
        <w:t xml:space="preserve"> Bereich der Fischerei und Aqua</w:t>
      </w:r>
      <w:r w:rsidRPr="001C5159">
        <w:rPr>
          <w:rFonts w:asciiTheme="majorHAnsi" w:hAnsiTheme="majorHAnsi" w:cstheme="majorHAnsi"/>
        </w:rPr>
        <w:t xml:space="preserve">kultur oder im Bereich der landwirtschaftlichen Primärerzeugung. De-minimis-Beihilfen nach der Verordnung (EU) Nr. </w:t>
      </w:r>
      <w:r w:rsidR="007A2F23">
        <w:rPr>
          <w:rFonts w:asciiTheme="majorHAnsi" w:hAnsiTheme="majorHAnsi" w:cstheme="majorHAnsi"/>
        </w:rPr>
        <w:t>2023/2831</w:t>
      </w:r>
      <w:r w:rsidRPr="001C5159">
        <w:rPr>
          <w:rFonts w:asciiTheme="majorHAnsi" w:hAnsiTheme="majorHAnsi" w:cstheme="majorHAnsi"/>
        </w:rPr>
        <w:t xml:space="preserve"> dürfen nur bei Einhaltung bestimmter Voraussetzungen mit De-minimis-Beihilfen für andere Sektoren kumuliert werden: Zum einen müssen di</w:t>
      </w:r>
      <w:r w:rsidR="00C1022A" w:rsidRPr="001C5159">
        <w:rPr>
          <w:rFonts w:asciiTheme="majorHAnsi" w:hAnsiTheme="majorHAnsi" w:cstheme="majorHAnsi"/>
        </w:rPr>
        <w:t>e Beihilfen eindeutig dem jewei</w:t>
      </w:r>
      <w:r w:rsidRPr="001C5159">
        <w:rPr>
          <w:rFonts w:asciiTheme="majorHAnsi" w:hAnsiTheme="majorHAnsi" w:cstheme="majorHAnsi"/>
        </w:rPr>
        <w:t>ligen Sektor zugeordnet werden können, zum and</w:t>
      </w:r>
      <w:r w:rsidR="00C1022A" w:rsidRPr="001C5159">
        <w:rPr>
          <w:rFonts w:asciiTheme="majorHAnsi" w:hAnsiTheme="majorHAnsi" w:cstheme="majorHAnsi"/>
        </w:rPr>
        <w:t>eren dürfen die jeweiligen Ober</w:t>
      </w:r>
      <w:r w:rsidRPr="001C5159">
        <w:rPr>
          <w:rFonts w:asciiTheme="majorHAnsi" w:hAnsiTheme="majorHAnsi" w:cstheme="majorHAnsi"/>
        </w:rPr>
        <w:t xml:space="preserve">grenzen </w:t>
      </w:r>
      <w:r w:rsidR="00C1022A" w:rsidRPr="001C5159">
        <w:rPr>
          <w:rFonts w:asciiTheme="majorHAnsi" w:hAnsiTheme="majorHAnsi" w:cstheme="majorHAnsi"/>
        </w:rPr>
        <w:t>der anderen Bereiche nicht über</w:t>
      </w:r>
      <w:r w:rsidRPr="001C5159">
        <w:rPr>
          <w:rFonts w:asciiTheme="majorHAnsi" w:hAnsiTheme="majorHAnsi" w:cstheme="majorHAnsi"/>
        </w:rPr>
        <w:t xml:space="preserve">schritten werden. </w:t>
      </w:r>
    </w:p>
    <w:p w14:paraId="20D8BDD8" w14:textId="77777777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</w:p>
    <w:p w14:paraId="2209F667" w14:textId="77777777" w:rsidR="00FB23E7" w:rsidRPr="001C5159" w:rsidRDefault="00FB23E7" w:rsidP="00FB23E7">
      <w:pPr>
        <w:pStyle w:val="StandardWeb"/>
        <w:keepNext/>
        <w:spacing w:before="0" w:beforeAutospacing="0" w:after="120" w:afterAutospacing="0" w:line="360" w:lineRule="exact"/>
        <w:ind w:right="-142"/>
        <w:rPr>
          <w:rFonts w:asciiTheme="majorHAnsi" w:hAnsiTheme="majorHAnsi" w:cstheme="majorHAnsi"/>
          <w:b/>
          <w:bCs/>
        </w:rPr>
      </w:pPr>
      <w:r w:rsidRPr="001C5159">
        <w:rPr>
          <w:rFonts w:asciiTheme="majorHAnsi" w:hAnsiTheme="majorHAnsi" w:cstheme="majorHAnsi"/>
          <w:b/>
          <w:bCs/>
        </w:rPr>
        <w:t>Überprüfung der De-minimis-Bedingungen</w:t>
      </w:r>
    </w:p>
    <w:p w14:paraId="733E95DF" w14:textId="0FE6DA23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 xml:space="preserve">Um sicherzustellen, dass De-minimis-Beihilfen den maximal zulässigen Subventionswert von </w:t>
      </w:r>
      <w:r w:rsidR="007A2F23">
        <w:rPr>
          <w:rFonts w:asciiTheme="majorHAnsi" w:hAnsiTheme="majorHAnsi" w:cstheme="majorHAnsi"/>
        </w:rPr>
        <w:t>3</w:t>
      </w:r>
      <w:r w:rsidR="007A2F23" w:rsidRPr="001C5159">
        <w:rPr>
          <w:rFonts w:asciiTheme="majorHAnsi" w:hAnsiTheme="majorHAnsi" w:cstheme="majorHAnsi"/>
        </w:rPr>
        <w:t>00</w:t>
      </w:r>
      <w:r w:rsidRPr="001C5159">
        <w:rPr>
          <w:rFonts w:asciiTheme="majorHAnsi" w:hAnsiTheme="majorHAnsi" w:cstheme="majorHAnsi"/>
        </w:rPr>
        <w:t xml:space="preserve">.000 Euro und die in den anderen De-minimis-Verordnungen festgelegten Obergrenzen nicht überschreiten, werden bei der Antragstellung anhand der </w:t>
      </w:r>
      <w:r w:rsidRPr="001C5159">
        <w:rPr>
          <w:rFonts w:asciiTheme="majorHAnsi" w:hAnsiTheme="majorHAnsi" w:cstheme="majorHAnsi"/>
          <w:b/>
          <w:bCs/>
        </w:rPr>
        <w:t>„Erklärung über bereits erhaltene bzw. beantragte De-minimis-Beihilfen“</w:t>
      </w:r>
      <w:r w:rsidRPr="001C5159">
        <w:rPr>
          <w:rFonts w:asciiTheme="majorHAnsi" w:hAnsiTheme="majorHAnsi" w:cstheme="majorHAnsi"/>
        </w:rPr>
        <w:t xml:space="preserve"> nachfolgende Angaben erfragt:</w:t>
      </w:r>
    </w:p>
    <w:p w14:paraId="43087EA7" w14:textId="77777777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</w:p>
    <w:p w14:paraId="37EFA336" w14:textId="273686AB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left="340" w:right="-142" w:hanging="340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  <w:b/>
        </w:rPr>
        <w:t>1.</w:t>
      </w:r>
      <w:r w:rsidRPr="001C5159">
        <w:rPr>
          <w:rFonts w:asciiTheme="majorHAnsi" w:hAnsiTheme="majorHAnsi" w:cstheme="majorHAnsi"/>
          <w:b/>
        </w:rPr>
        <w:tab/>
      </w:r>
      <w:r w:rsidRPr="001C5159">
        <w:rPr>
          <w:rFonts w:asciiTheme="majorHAnsi" w:hAnsiTheme="majorHAnsi" w:cstheme="majorHAnsi"/>
          <w:bCs/>
        </w:rPr>
        <w:t xml:space="preserve">Der </w:t>
      </w:r>
      <w:r w:rsidRPr="001C5159">
        <w:rPr>
          <w:rFonts w:asciiTheme="majorHAnsi" w:hAnsiTheme="majorHAnsi" w:cstheme="majorHAnsi"/>
        </w:rPr>
        <w:t>Zuwendungsempfänger muss angeben, ob er oder e</w:t>
      </w:r>
      <w:r w:rsidR="0047451D">
        <w:rPr>
          <w:rFonts w:asciiTheme="majorHAnsi" w:hAnsiTheme="majorHAnsi" w:cstheme="majorHAnsi"/>
        </w:rPr>
        <w:t>in mit ihm verbundenes Unterneh</w:t>
      </w:r>
      <w:r w:rsidRPr="001C5159">
        <w:rPr>
          <w:rFonts w:asciiTheme="majorHAnsi" w:hAnsiTheme="majorHAnsi" w:cstheme="majorHAnsi"/>
        </w:rPr>
        <w:t>men bereits früher De-minimis-Beihilfen nach der Verordnung (EU) Nr.</w:t>
      </w:r>
      <w:r w:rsidR="007A2F23">
        <w:rPr>
          <w:rFonts w:asciiTheme="majorHAnsi" w:hAnsiTheme="majorHAnsi" w:cstheme="majorHAnsi"/>
        </w:rPr>
        <w:t>2023/2831</w:t>
      </w:r>
      <w:r w:rsidRPr="001C5159">
        <w:rPr>
          <w:rFonts w:asciiTheme="majorHAnsi" w:hAnsiTheme="majorHAnsi" w:cstheme="majorHAnsi"/>
        </w:rPr>
        <w:t xml:space="preserve"> </w:t>
      </w:r>
      <w:r w:rsidR="00C1022A" w:rsidRPr="001C5159">
        <w:rPr>
          <w:rFonts w:asciiTheme="majorHAnsi" w:hAnsiTheme="majorHAnsi" w:cstheme="majorHAnsi"/>
        </w:rPr>
        <w:t>oder nach einer anderen De-mini</w:t>
      </w:r>
      <w:r w:rsidRPr="001C5159">
        <w:rPr>
          <w:rFonts w:asciiTheme="majorHAnsi" w:hAnsiTheme="majorHAnsi" w:cstheme="majorHAnsi"/>
        </w:rPr>
        <w:t xml:space="preserve">mis-Verordnung erhalten hat, und wenn ja, wann und in welcher Höhe. </w:t>
      </w:r>
      <w:r w:rsidR="0047451D">
        <w:rPr>
          <w:rFonts w:asciiTheme="majorHAnsi" w:hAnsiTheme="majorHAnsi" w:cstheme="majorHAnsi"/>
        </w:rPr>
        <w:t>De-minimis-Bei</w:t>
      </w:r>
      <w:r w:rsidRPr="001C5159">
        <w:rPr>
          <w:rFonts w:asciiTheme="majorHAnsi" w:hAnsiTheme="majorHAnsi" w:cstheme="majorHAnsi"/>
        </w:rPr>
        <w:t xml:space="preserve">hilfen werden vom Zuwendungsgeber gegenüber dem Zuwendungsempfänger </w:t>
      </w:r>
      <w:r w:rsidR="00C1022A" w:rsidRPr="001C5159">
        <w:rPr>
          <w:rFonts w:asciiTheme="majorHAnsi" w:hAnsiTheme="majorHAnsi" w:cstheme="majorHAnsi"/>
        </w:rPr>
        <w:t>ausdrück</w:t>
      </w:r>
      <w:r w:rsidRPr="001C5159">
        <w:rPr>
          <w:rFonts w:asciiTheme="majorHAnsi" w:hAnsiTheme="majorHAnsi" w:cstheme="majorHAnsi"/>
        </w:rPr>
        <w:t>lich als solche bezeichnet, und der Zuwendungsempfä</w:t>
      </w:r>
      <w:r w:rsidR="00C1022A" w:rsidRPr="001C5159">
        <w:rPr>
          <w:rFonts w:asciiTheme="majorHAnsi" w:hAnsiTheme="majorHAnsi" w:cstheme="majorHAnsi"/>
        </w:rPr>
        <w:t>nger erhält eine De-minimis-Be</w:t>
      </w:r>
      <w:r w:rsidRPr="001C5159">
        <w:rPr>
          <w:rFonts w:asciiTheme="majorHAnsi" w:hAnsiTheme="majorHAnsi" w:cstheme="majorHAnsi"/>
        </w:rPr>
        <w:t>scheinigung.</w:t>
      </w:r>
    </w:p>
    <w:p w14:paraId="7F552096" w14:textId="77777777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left="340" w:right="-142" w:hanging="340"/>
        <w:rPr>
          <w:rFonts w:asciiTheme="majorHAnsi" w:hAnsiTheme="majorHAnsi" w:cstheme="majorHAnsi"/>
        </w:rPr>
      </w:pPr>
    </w:p>
    <w:p w14:paraId="7FD00FC0" w14:textId="2D32CF79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left="340" w:right="-142" w:hanging="340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  <w:b/>
        </w:rPr>
        <w:t>2.</w:t>
      </w:r>
      <w:r w:rsidRPr="001C5159">
        <w:rPr>
          <w:rFonts w:asciiTheme="majorHAnsi" w:hAnsiTheme="majorHAnsi" w:cstheme="majorHAnsi"/>
          <w:b/>
        </w:rPr>
        <w:tab/>
      </w:r>
      <w:r w:rsidRPr="001C5159">
        <w:rPr>
          <w:rFonts w:asciiTheme="majorHAnsi" w:hAnsiTheme="majorHAnsi" w:cstheme="majorHAnsi"/>
          <w:bCs/>
        </w:rPr>
        <w:t xml:space="preserve">Der </w:t>
      </w:r>
      <w:r w:rsidRPr="001C5159">
        <w:rPr>
          <w:rFonts w:asciiTheme="majorHAnsi" w:hAnsiTheme="majorHAnsi" w:cstheme="majorHAnsi"/>
        </w:rPr>
        <w:t>Zuwendungsempfänger muss angeben, ob er oder e</w:t>
      </w:r>
      <w:r w:rsidR="00C1022A" w:rsidRPr="001C5159">
        <w:rPr>
          <w:rFonts w:asciiTheme="majorHAnsi" w:hAnsiTheme="majorHAnsi" w:cstheme="majorHAnsi"/>
        </w:rPr>
        <w:t>in mit ihm verbundenes Unterneh</w:t>
      </w:r>
      <w:r w:rsidRPr="001C5159">
        <w:rPr>
          <w:rFonts w:asciiTheme="majorHAnsi" w:hAnsiTheme="majorHAnsi" w:cstheme="majorHAnsi"/>
        </w:rPr>
        <w:t>men im laufenden Steue</w:t>
      </w:r>
      <w:r w:rsidR="0047451D">
        <w:rPr>
          <w:rFonts w:asciiTheme="majorHAnsi" w:hAnsiTheme="majorHAnsi" w:cstheme="majorHAnsi"/>
        </w:rPr>
        <w:t>rjahr sowie in den zwei vorange</w:t>
      </w:r>
      <w:r w:rsidRPr="001C5159">
        <w:rPr>
          <w:rFonts w:asciiTheme="majorHAnsi" w:hAnsiTheme="majorHAnsi" w:cstheme="majorHAnsi"/>
        </w:rPr>
        <w:t>gangenen Steuerjahren weitere De-minimis-Beihilfen beantragt hat, und wenn ja, wann und in welcher Höhe.</w:t>
      </w:r>
    </w:p>
    <w:p w14:paraId="6BF9434A" w14:textId="77777777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left="340" w:right="-142" w:hanging="340"/>
        <w:rPr>
          <w:rFonts w:asciiTheme="majorHAnsi" w:hAnsiTheme="majorHAnsi" w:cstheme="majorHAnsi"/>
        </w:rPr>
      </w:pPr>
    </w:p>
    <w:p w14:paraId="5497688A" w14:textId="337FD77A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left="340" w:right="-142" w:hanging="340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ab/>
        <w:t xml:space="preserve">Anhand dieser Angaben wird geprüft, ob mit der neu beantragten De-minimis-Beihilfe der Höchstbetrag von </w:t>
      </w:r>
      <w:r w:rsidR="007A2F23">
        <w:rPr>
          <w:rFonts w:asciiTheme="majorHAnsi" w:hAnsiTheme="majorHAnsi" w:cstheme="majorHAnsi"/>
        </w:rPr>
        <w:t>3</w:t>
      </w:r>
      <w:r w:rsidR="007A2F23" w:rsidRPr="001C5159">
        <w:rPr>
          <w:rFonts w:asciiTheme="majorHAnsi" w:hAnsiTheme="majorHAnsi" w:cstheme="majorHAnsi"/>
        </w:rPr>
        <w:t>00</w:t>
      </w:r>
      <w:r w:rsidRPr="001C5159">
        <w:rPr>
          <w:rFonts w:asciiTheme="majorHAnsi" w:hAnsiTheme="majorHAnsi" w:cstheme="majorHAnsi"/>
        </w:rPr>
        <w:t>.000 Euro im Zeitraum des laufenden Steuerjahres sowie den zwei vorangegangenen Steuerjahren sowie ggf. die Höchstb</w:t>
      </w:r>
      <w:r w:rsidR="00C1022A" w:rsidRPr="001C5159">
        <w:rPr>
          <w:rFonts w:asciiTheme="majorHAnsi" w:hAnsiTheme="majorHAnsi" w:cstheme="majorHAnsi"/>
        </w:rPr>
        <w:t>eträge nach den anderen De-mini</w:t>
      </w:r>
      <w:r w:rsidRPr="001C5159">
        <w:rPr>
          <w:rFonts w:asciiTheme="majorHAnsi" w:hAnsiTheme="majorHAnsi" w:cstheme="majorHAnsi"/>
        </w:rPr>
        <w:t>mis-Verordnungen eingehalten werden. Wenn der Ges</w:t>
      </w:r>
      <w:r w:rsidR="0047451D">
        <w:rPr>
          <w:rFonts w:asciiTheme="majorHAnsi" w:hAnsiTheme="majorHAnsi" w:cstheme="majorHAnsi"/>
        </w:rPr>
        <w:t>amtbetrag der De-minimis-Beihil</w:t>
      </w:r>
      <w:r w:rsidRPr="001C5159">
        <w:rPr>
          <w:rFonts w:asciiTheme="majorHAnsi" w:hAnsiTheme="majorHAnsi" w:cstheme="majorHAnsi"/>
        </w:rPr>
        <w:t>fen, die ein Zuwendungsempfänger oder ein mit ihm</w:t>
      </w:r>
      <w:r w:rsidR="00C1022A" w:rsidRPr="001C5159">
        <w:rPr>
          <w:rFonts w:asciiTheme="majorHAnsi" w:hAnsiTheme="majorHAnsi" w:cstheme="majorHAnsi"/>
        </w:rPr>
        <w:t xml:space="preserve"> verbundenes Unternehmen im lau</w:t>
      </w:r>
      <w:r w:rsidRPr="001C5159">
        <w:rPr>
          <w:rFonts w:asciiTheme="majorHAnsi" w:hAnsiTheme="majorHAnsi" w:cstheme="majorHAnsi"/>
        </w:rPr>
        <w:t xml:space="preserve">fenden Steuerjahr und in den letzten zwei Steuerjahren erhalten </w:t>
      </w:r>
      <w:r w:rsidRPr="001C5159">
        <w:rPr>
          <w:rFonts w:asciiTheme="majorHAnsi" w:hAnsiTheme="majorHAnsi" w:cstheme="majorHAnsi"/>
        </w:rPr>
        <w:lastRenderedPageBreak/>
        <w:t>hat, aufgrund de</w:t>
      </w:r>
      <w:r w:rsidR="00C1022A" w:rsidRPr="001C5159">
        <w:rPr>
          <w:rFonts w:asciiTheme="majorHAnsi" w:hAnsiTheme="majorHAnsi" w:cstheme="majorHAnsi"/>
        </w:rPr>
        <w:t>r Förde</w:t>
      </w:r>
      <w:r w:rsidRPr="001C5159">
        <w:rPr>
          <w:rFonts w:asciiTheme="majorHAnsi" w:hAnsiTheme="majorHAnsi" w:cstheme="majorHAnsi"/>
        </w:rPr>
        <w:t>rung die oben genannten De-minimis-Höchstbeträge übersteigt, kann der Zuschuss nicht gewährt werden.</w:t>
      </w:r>
    </w:p>
    <w:p w14:paraId="4F925D4F" w14:textId="77777777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left="340" w:right="-142" w:hanging="340"/>
        <w:rPr>
          <w:rFonts w:asciiTheme="majorHAnsi" w:hAnsiTheme="majorHAnsi" w:cstheme="majorHAnsi"/>
        </w:rPr>
      </w:pPr>
    </w:p>
    <w:p w14:paraId="3D127E1C" w14:textId="7F6E3AB9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left="340" w:right="-142" w:hanging="340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  <w:b/>
        </w:rPr>
        <w:t>3.</w:t>
      </w:r>
      <w:r w:rsidRPr="001C5159">
        <w:rPr>
          <w:rFonts w:asciiTheme="majorHAnsi" w:hAnsiTheme="majorHAnsi" w:cstheme="majorHAnsi"/>
          <w:b/>
        </w:rPr>
        <w:tab/>
      </w:r>
      <w:r w:rsidRPr="001C5159">
        <w:rPr>
          <w:rFonts w:asciiTheme="majorHAnsi" w:hAnsiTheme="majorHAnsi" w:cstheme="majorHAnsi"/>
        </w:rPr>
        <w:t xml:space="preserve">Zusätzlich muss der Zuwendungsempfänger angeben, ob </w:t>
      </w:r>
      <w:r w:rsidR="0047451D">
        <w:rPr>
          <w:rFonts w:asciiTheme="majorHAnsi" w:hAnsiTheme="majorHAnsi" w:cstheme="majorHAnsi"/>
        </w:rPr>
        <w:t>er für das geplante Vorhaben ne</w:t>
      </w:r>
      <w:r w:rsidRPr="001C5159">
        <w:rPr>
          <w:rFonts w:asciiTheme="majorHAnsi" w:hAnsiTheme="majorHAnsi" w:cstheme="majorHAnsi"/>
        </w:rPr>
        <w:t>ben der beantragten De-minimis-Beihilfe weitere Beih</w:t>
      </w:r>
      <w:r w:rsidR="0047451D">
        <w:rPr>
          <w:rFonts w:asciiTheme="majorHAnsi" w:hAnsiTheme="majorHAnsi" w:cstheme="majorHAnsi"/>
        </w:rPr>
        <w:t>ilfen erhält, die mit der bean</w:t>
      </w:r>
      <w:r w:rsidRPr="001C5159">
        <w:rPr>
          <w:rFonts w:asciiTheme="majorHAnsi" w:hAnsiTheme="majorHAnsi" w:cstheme="majorHAnsi"/>
        </w:rPr>
        <w:t>tragten De-minimis-Beihilfe kumuliert werden sollen.</w:t>
      </w:r>
    </w:p>
    <w:p w14:paraId="097CCCEB" w14:textId="77777777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left="340" w:right="-142" w:hanging="340"/>
        <w:rPr>
          <w:rFonts w:asciiTheme="majorHAnsi" w:hAnsiTheme="majorHAnsi" w:cstheme="majorHAnsi"/>
        </w:rPr>
      </w:pPr>
    </w:p>
    <w:p w14:paraId="13CE178F" w14:textId="39AAA3A9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left="340" w:right="-142" w:hanging="340"/>
        <w:rPr>
          <w:rFonts w:asciiTheme="majorHAnsi" w:hAnsiTheme="majorHAnsi" w:cstheme="majorHAnsi"/>
          <w:b/>
        </w:rPr>
      </w:pPr>
      <w:r w:rsidRPr="001C5159">
        <w:rPr>
          <w:rFonts w:asciiTheme="majorHAnsi" w:hAnsiTheme="majorHAnsi" w:cstheme="majorHAnsi"/>
        </w:rPr>
        <w:tab/>
        <w:t>De-minimis-Beihilfen können durchaus mit Beihilf</w:t>
      </w:r>
      <w:r w:rsidR="0047451D">
        <w:rPr>
          <w:rFonts w:asciiTheme="majorHAnsi" w:hAnsiTheme="majorHAnsi" w:cstheme="majorHAnsi"/>
        </w:rPr>
        <w:t>en aus von der Europäischen Kommis</w:t>
      </w:r>
      <w:r w:rsidRPr="001C5159">
        <w:rPr>
          <w:rFonts w:asciiTheme="majorHAnsi" w:hAnsiTheme="majorHAnsi" w:cstheme="majorHAnsi"/>
        </w:rPr>
        <w:t>sion genehmigten oder freigestellten Förderma</w:t>
      </w:r>
      <w:r w:rsidR="0047451D">
        <w:rPr>
          <w:rFonts w:asciiTheme="majorHAnsi" w:hAnsiTheme="majorHAnsi" w:cstheme="majorHAnsi"/>
        </w:rPr>
        <w:t>ßnahmen zusammen in Anspruch genommen (d.h. kumu</w:t>
      </w:r>
      <w:r w:rsidRPr="001C5159">
        <w:rPr>
          <w:rFonts w:asciiTheme="majorHAnsi" w:hAnsiTheme="majorHAnsi" w:cstheme="majorHAnsi"/>
        </w:rPr>
        <w:t xml:space="preserve">liert) werden. Dabei ist allerdings zu </w:t>
      </w:r>
      <w:r w:rsidR="0047451D">
        <w:rPr>
          <w:rFonts w:asciiTheme="majorHAnsi" w:hAnsiTheme="majorHAnsi" w:cstheme="majorHAnsi"/>
        </w:rPr>
        <w:t>beachten, dass die maximale För</w:t>
      </w:r>
      <w:r w:rsidRPr="001C5159">
        <w:rPr>
          <w:rFonts w:asciiTheme="majorHAnsi" w:hAnsiTheme="majorHAnsi" w:cstheme="majorHAnsi"/>
        </w:rPr>
        <w:t>derintensität, die im EU-Recht für diese Beihilfen v</w:t>
      </w:r>
      <w:r w:rsidR="0047451D">
        <w:rPr>
          <w:rFonts w:asciiTheme="majorHAnsi" w:hAnsiTheme="majorHAnsi" w:cstheme="majorHAnsi"/>
        </w:rPr>
        <w:t>orgegeben ist, durch die Kumula</w:t>
      </w:r>
      <w:r w:rsidRPr="001C5159">
        <w:rPr>
          <w:rFonts w:asciiTheme="majorHAnsi" w:hAnsiTheme="majorHAnsi" w:cstheme="majorHAnsi"/>
        </w:rPr>
        <w:t>tion mit der De-minimis-Beihilfe nicht überschritten wird.</w:t>
      </w:r>
    </w:p>
    <w:p w14:paraId="646A87AA" w14:textId="77777777" w:rsidR="00FB23E7" w:rsidRPr="001C5159" w:rsidRDefault="00FB23E7" w:rsidP="00FB23E7">
      <w:pPr>
        <w:pStyle w:val="StandardWeb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</w:p>
    <w:p w14:paraId="65E35FDE" w14:textId="77777777" w:rsidR="00FB23E7" w:rsidRPr="001C5159" w:rsidRDefault="00FB23E7" w:rsidP="00FB23E7">
      <w:pPr>
        <w:pStyle w:val="berschrift2"/>
        <w:spacing w:after="120" w:line="360" w:lineRule="exact"/>
        <w:ind w:right="-142"/>
        <w:jc w:val="left"/>
        <w:rPr>
          <w:rFonts w:asciiTheme="majorHAnsi" w:hAnsiTheme="majorHAnsi" w:cstheme="majorHAnsi"/>
          <w:b/>
          <w:bCs/>
          <w:i w:val="0"/>
          <w:iCs/>
          <w:szCs w:val="24"/>
        </w:rPr>
      </w:pPr>
      <w:r w:rsidRPr="001C5159">
        <w:rPr>
          <w:rFonts w:asciiTheme="majorHAnsi" w:hAnsiTheme="majorHAnsi" w:cstheme="majorHAnsi"/>
          <w:b/>
          <w:bCs/>
          <w:i w:val="0"/>
          <w:iCs/>
          <w:szCs w:val="24"/>
        </w:rPr>
        <w:t>Wie erfährt das Unternehmen die Höhe einer De-minim</w:t>
      </w:r>
      <w:bookmarkStart w:id="10" w:name="_GoBack"/>
      <w:bookmarkEnd w:id="10"/>
      <w:r w:rsidRPr="001C5159">
        <w:rPr>
          <w:rFonts w:asciiTheme="majorHAnsi" w:hAnsiTheme="majorHAnsi" w:cstheme="majorHAnsi"/>
          <w:b/>
          <w:bCs/>
          <w:i w:val="0"/>
          <w:iCs/>
          <w:szCs w:val="24"/>
        </w:rPr>
        <w:t>is-Beihilfe?</w:t>
      </w:r>
    </w:p>
    <w:p w14:paraId="1604D026" w14:textId="0B74E0EC" w:rsidR="002055D7" w:rsidRPr="001C5159" w:rsidRDefault="00FB23E7" w:rsidP="0047451D">
      <w:pPr>
        <w:pStyle w:val="StandardWeb"/>
        <w:spacing w:before="0" w:beforeAutospacing="0" w:after="0" w:afterAutospacing="0" w:line="360" w:lineRule="exact"/>
        <w:ind w:right="-142"/>
        <w:rPr>
          <w:rFonts w:asciiTheme="majorHAnsi" w:hAnsiTheme="majorHAnsi" w:cstheme="majorHAnsi"/>
        </w:rPr>
      </w:pPr>
      <w:r w:rsidRPr="001C5159">
        <w:rPr>
          <w:rFonts w:asciiTheme="majorHAnsi" w:hAnsiTheme="majorHAnsi" w:cstheme="majorHAnsi"/>
        </w:rPr>
        <w:t xml:space="preserve">In einer Anlage zum Förderbescheid für eine De-minimis-Beihilfe </w:t>
      </w:r>
      <w:r w:rsidR="00C1022A" w:rsidRPr="001C5159">
        <w:rPr>
          <w:rFonts w:asciiTheme="majorHAnsi" w:hAnsiTheme="majorHAnsi" w:cstheme="majorHAnsi"/>
        </w:rPr>
        <w:t>(sog. De-minimis-Beschei</w:t>
      </w:r>
      <w:r w:rsidRPr="001C5159">
        <w:rPr>
          <w:rFonts w:asciiTheme="majorHAnsi" w:hAnsiTheme="majorHAnsi" w:cstheme="majorHAnsi"/>
        </w:rPr>
        <w:t xml:space="preserve">nigung) wird dem </w:t>
      </w:r>
      <w:r w:rsidR="00C1022A" w:rsidRPr="001C5159">
        <w:rPr>
          <w:rFonts w:asciiTheme="majorHAnsi" w:hAnsiTheme="majorHAnsi" w:cstheme="majorHAnsi"/>
        </w:rPr>
        <w:t>Zuwendungsemp</w:t>
      </w:r>
      <w:r w:rsidRPr="001C5159">
        <w:rPr>
          <w:rFonts w:asciiTheme="majorHAnsi" w:hAnsiTheme="majorHAnsi" w:cstheme="majorHAnsi"/>
        </w:rPr>
        <w:t xml:space="preserve">fänger unter anderem mitgeteilt, wie hoch der auf die Beihilfe entfallende Subventionswert ist. Die De-minimis-Bescheinigung muss mindestens zehn Jahre aufbewahrt werden, damit sie bei einer </w:t>
      </w:r>
      <w:r w:rsidR="00C1022A" w:rsidRPr="001C5159">
        <w:rPr>
          <w:rFonts w:asciiTheme="majorHAnsi" w:hAnsiTheme="majorHAnsi" w:cstheme="majorHAnsi"/>
        </w:rPr>
        <w:t>Kontrollan</w:t>
      </w:r>
      <w:r w:rsidRPr="001C5159">
        <w:rPr>
          <w:rFonts w:asciiTheme="majorHAnsi" w:hAnsiTheme="majorHAnsi" w:cstheme="majorHAnsi"/>
        </w:rPr>
        <w:t>frage d</w:t>
      </w:r>
      <w:r w:rsidR="0047451D">
        <w:rPr>
          <w:rFonts w:asciiTheme="majorHAnsi" w:hAnsiTheme="majorHAnsi" w:cstheme="majorHAnsi"/>
        </w:rPr>
        <w:t>er Europäischen Kom</w:t>
      </w:r>
      <w:r w:rsidRPr="001C5159">
        <w:rPr>
          <w:rFonts w:asciiTheme="majorHAnsi" w:hAnsiTheme="majorHAnsi" w:cstheme="majorHAnsi"/>
        </w:rPr>
        <w:t>mission kur</w:t>
      </w:r>
      <w:r w:rsidR="0047451D">
        <w:rPr>
          <w:rFonts w:asciiTheme="majorHAnsi" w:hAnsiTheme="majorHAnsi" w:cstheme="majorHAnsi"/>
        </w:rPr>
        <w:t>zfristig vorgelegt werden kann.</w:t>
      </w:r>
    </w:p>
    <w:sectPr w:rsidR="002055D7" w:rsidRPr="001C5159" w:rsidSect="002D7A2D">
      <w:type w:val="continuous"/>
      <w:pgSz w:w="11906" w:h="16838" w:code="9"/>
      <w:pgMar w:top="1418" w:right="907" w:bottom="907" w:left="1418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DF349" w14:textId="77777777" w:rsidR="008D1491" w:rsidRDefault="008D1491" w:rsidP="009E13EB">
      <w:pPr>
        <w:spacing w:line="240" w:lineRule="auto"/>
      </w:pPr>
      <w:r>
        <w:separator/>
      </w:r>
    </w:p>
  </w:endnote>
  <w:endnote w:type="continuationSeparator" w:id="0">
    <w:p w14:paraId="1A26B4A0" w14:textId="77777777" w:rsidR="008D1491" w:rsidRDefault="008D1491" w:rsidP="009E13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53DD8" w14:textId="77777777" w:rsidR="00555BA9" w:rsidRDefault="00555B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A3A52" w14:textId="06157286" w:rsidR="00555BA9" w:rsidRDefault="00220F1E">
    <w:pPr>
      <w:pStyle w:val="Fuzeile"/>
    </w:pPr>
    <w:r>
      <w:t>Stand April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147A" w14:textId="7087C47D" w:rsidR="00555BA9" w:rsidRPr="00247E29" w:rsidRDefault="00555BA9" w:rsidP="00555BA9">
    <w:pPr>
      <w:pBdr>
        <w:top w:val="single" w:sz="6" w:space="3" w:color="auto"/>
      </w:pBdr>
      <w:spacing w:line="240" w:lineRule="auto"/>
      <w:rPr>
        <w:rFonts w:ascii="Arial" w:hAnsi="Arial" w:cs="Arial"/>
        <w:sz w:val="16"/>
        <w:szCs w:val="16"/>
      </w:rPr>
    </w:pPr>
    <w:r w:rsidRPr="00D45917">
      <w:rPr>
        <w:rFonts w:ascii="Arial" w:hAnsi="Arial" w:cs="Arial"/>
        <w:sz w:val="16"/>
        <w:szCs w:val="16"/>
      </w:rPr>
      <w:t xml:space="preserve">Dienstgebäude Hamburger Chaussee 25, 24220 Flintbek (Barrierefreier Zugang) | Telefon 04347/ 704-0 | Telefax </w:t>
    </w:r>
    <w:r w:rsidR="008A607F">
      <w:rPr>
        <w:rFonts w:ascii="Arial" w:hAnsi="Arial" w:cs="Arial"/>
        <w:sz w:val="16"/>
        <w:szCs w:val="16"/>
      </w:rPr>
      <w:t>0431-9886450432</w:t>
    </w:r>
    <w:r w:rsidRPr="00D45917">
      <w:rPr>
        <w:rFonts w:ascii="Arial" w:hAnsi="Arial" w:cs="Arial"/>
        <w:sz w:val="16"/>
        <w:szCs w:val="16"/>
      </w:rPr>
      <w:t xml:space="preserve"> | </w:t>
    </w:r>
    <w:hyperlink r:id="rId1" w:history="1">
      <w:r w:rsidRPr="006D3DC1">
        <w:rPr>
          <w:rStyle w:val="Hyperlink"/>
          <w:rFonts w:cs="Arial"/>
          <w:sz w:val="16"/>
          <w:szCs w:val="16"/>
        </w:rPr>
        <w:t>poststelle.flintbek@llnl.landsh.de</w:t>
      </w:r>
    </w:hyperlink>
    <w:r>
      <w:rPr>
        <w:rFonts w:ascii="Arial" w:hAnsi="Arial" w:cs="Arial"/>
        <w:sz w:val="16"/>
        <w:szCs w:val="16"/>
      </w:rPr>
      <w:t xml:space="preserve"> </w:t>
    </w:r>
    <w:r w:rsidRPr="00D45917">
      <w:rPr>
        <w:rFonts w:ascii="Arial" w:hAnsi="Arial" w:cs="Arial"/>
        <w:sz w:val="16"/>
        <w:szCs w:val="16"/>
      </w:rPr>
      <w:t xml:space="preserve">| DE-Mail: </w:t>
    </w:r>
    <w:hyperlink r:id="rId2" w:history="1">
      <w:r w:rsidRPr="0022235B">
        <w:rPr>
          <w:rStyle w:val="Hyperlink"/>
          <w:rFonts w:cs="Arial"/>
          <w:sz w:val="16"/>
          <w:szCs w:val="16"/>
        </w:rPr>
        <w:t>poststelle@llnl-landsh.de-mail.de</w:t>
      </w:r>
    </w:hyperlink>
    <w:r>
      <w:rPr>
        <w:rFonts w:ascii="Arial" w:hAnsi="Arial" w:cs="Arial"/>
        <w:sz w:val="16"/>
        <w:szCs w:val="16"/>
      </w:rPr>
      <w:t xml:space="preserve"> </w:t>
    </w:r>
    <w:r w:rsidRPr="00124A43">
      <w:rPr>
        <w:rFonts w:ascii="Arial" w:hAnsi="Arial" w:cs="Arial"/>
        <w:sz w:val="16"/>
        <w:szCs w:val="16"/>
      </w:rPr>
      <w:t xml:space="preserve">| </w:t>
    </w:r>
    <w:r>
      <w:rPr>
        <w:rFonts w:ascii="Arial" w:hAnsi="Arial" w:cs="Arial"/>
        <w:sz w:val="16"/>
        <w:szCs w:val="16"/>
      </w:rPr>
      <w:t xml:space="preserve">beBPo: </w:t>
    </w:r>
    <w:r w:rsidRPr="00F64214">
      <w:rPr>
        <w:rFonts w:ascii="Arial" w:hAnsi="Arial" w:cs="Arial"/>
        <w:sz w:val="16"/>
        <w:szCs w:val="16"/>
      </w:rPr>
      <w:t>Landesamt für Landwirtschaft und nachhaltige Landentwicklung Schleswig-Holstein</w:t>
    </w:r>
    <w:r w:rsidRPr="00D45917">
      <w:rPr>
        <w:rFonts w:ascii="Arial" w:hAnsi="Arial" w:cs="Arial"/>
        <w:sz w:val="16"/>
        <w:szCs w:val="16"/>
      </w:rPr>
      <w:t xml:space="preserve"> | </w:t>
    </w:r>
    <w:hyperlink r:id="rId3" w:history="1">
      <w:r w:rsidRPr="006D3DC1">
        <w:rPr>
          <w:rStyle w:val="Hyperlink"/>
          <w:rFonts w:cs="Arial"/>
          <w:sz w:val="16"/>
          <w:szCs w:val="16"/>
        </w:rPr>
        <w:t>https://www.schleswig-holstein.de/llnl</w:t>
      </w:r>
    </w:hyperlink>
    <w:r>
      <w:rPr>
        <w:rFonts w:ascii="Arial" w:hAnsi="Arial" w:cs="Arial"/>
        <w:sz w:val="16"/>
        <w:szCs w:val="16"/>
      </w:rPr>
      <w:t xml:space="preserve"> </w:t>
    </w:r>
    <w:r w:rsidRPr="000E741F">
      <w:rPr>
        <w:rFonts w:ascii="Arial" w:hAnsi="Arial" w:cs="Arial"/>
        <w:sz w:val="16"/>
        <w:szCs w:val="16"/>
      </w:rPr>
      <w:t xml:space="preserve"> </w:t>
    </w:r>
    <w:r w:rsidRPr="00D45917">
      <w:rPr>
        <w:rFonts w:ascii="Arial" w:hAnsi="Arial" w:cs="Arial"/>
        <w:sz w:val="16"/>
        <w:szCs w:val="16"/>
      </w:rPr>
      <w:t>| Erreichbarkeit: Mo – Do 09:00 – 15:</w:t>
    </w:r>
    <w:r>
      <w:rPr>
        <w:rFonts w:ascii="Arial" w:hAnsi="Arial" w:cs="Arial"/>
        <w:sz w:val="16"/>
        <w:szCs w:val="16"/>
      </w:rPr>
      <w:t>0</w:t>
    </w:r>
    <w:r w:rsidRPr="00D45917">
      <w:rPr>
        <w:rFonts w:ascii="Arial" w:hAnsi="Arial" w:cs="Arial"/>
        <w:sz w:val="16"/>
        <w:szCs w:val="16"/>
      </w:rPr>
      <w:t>0, Fr 09:00 – 12:00 Uhr, Abfah</w:t>
    </w:r>
    <w:r>
      <w:rPr>
        <w:rFonts w:ascii="Arial" w:hAnsi="Arial" w:cs="Arial"/>
        <w:sz w:val="16"/>
        <w:szCs w:val="16"/>
      </w:rPr>
      <w:t>rt ab Kiel HBF: Buslinie 780</w:t>
    </w:r>
    <w:r w:rsidRPr="00D45917">
      <w:rPr>
        <w:rFonts w:ascii="Arial" w:hAnsi="Arial" w:cs="Arial"/>
        <w:sz w:val="16"/>
        <w:szCs w:val="16"/>
      </w:rPr>
      <w:t>, Haltestelle „Konrad-Zuse-Ring</w:t>
    </w:r>
    <w:r>
      <w:rPr>
        <w:rFonts w:ascii="Arial" w:hAnsi="Arial" w:cs="Arial"/>
        <w:sz w:val="16"/>
        <w:szCs w:val="16"/>
      </w:rPr>
      <w:t>/ L318</w:t>
    </w:r>
    <w:r w:rsidRPr="00D45917">
      <w:rPr>
        <w:rFonts w:ascii="Arial" w:hAnsi="Arial" w:cs="Arial"/>
        <w:sz w:val="16"/>
        <w:szCs w:val="16"/>
      </w:rPr>
      <w:t>“ oder Buslinie 790, Haltestelle „Langstücken“ | E-Mail-Adressen: Kein Zugang für elektronisch signierte und verschlüsselte Dokumente.</w:t>
    </w:r>
  </w:p>
  <w:p w14:paraId="731C91AE" w14:textId="57BD41FB" w:rsidR="00EA2889" w:rsidRPr="00555BA9" w:rsidRDefault="00EA2889" w:rsidP="00555BA9">
    <w:pPr>
      <w:pStyle w:val="Fuzeile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43672" w14:textId="77777777" w:rsidR="008D1491" w:rsidRDefault="008D1491" w:rsidP="009E13EB">
      <w:pPr>
        <w:spacing w:line="240" w:lineRule="auto"/>
      </w:pPr>
      <w:r>
        <w:separator/>
      </w:r>
    </w:p>
  </w:footnote>
  <w:footnote w:type="continuationSeparator" w:id="0">
    <w:p w14:paraId="73F4542E" w14:textId="77777777" w:rsidR="008D1491" w:rsidRDefault="008D1491" w:rsidP="009E13EB">
      <w:pPr>
        <w:spacing w:line="240" w:lineRule="auto"/>
      </w:pPr>
      <w:r>
        <w:continuationSeparator/>
      </w:r>
    </w:p>
  </w:footnote>
  <w:footnote w:id="1">
    <w:p w14:paraId="3DF97A53" w14:textId="06BF6FE9" w:rsidR="00FB23E7" w:rsidRDefault="00FB23E7" w:rsidP="00FB23E7">
      <w:pPr>
        <w:pStyle w:val="Funotentext"/>
      </w:pPr>
      <w:r>
        <w:rPr>
          <w:rStyle w:val="Funotenzeichen"/>
        </w:rPr>
        <w:footnoteRef/>
      </w:r>
      <w:r>
        <w:tab/>
      </w:r>
      <w:r w:rsidR="003D44BF">
        <w:t xml:space="preserve">Amtsblatt der Europäischen Union L vom 15.12.2023 </w:t>
      </w:r>
      <w:r w:rsidR="003D44BF">
        <w:rPr>
          <w:sz w:val="19"/>
          <w:szCs w:val="19"/>
        </w:rPr>
        <w:t>ELI: http://data.europa.eu/eli/reg/2023/2831/oj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F66FD" w14:textId="77777777" w:rsidR="00555BA9" w:rsidRDefault="00555BA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C8E4B" w14:textId="69F12C01" w:rsidR="00FD70AE" w:rsidRDefault="00FD70AE" w:rsidP="00FD70AE">
    <w:pPr>
      <w:pStyle w:val="Kopfzeile"/>
      <w:jc w:val="center"/>
    </w:pPr>
    <w:r>
      <w:rPr>
        <w:rStyle w:val="Seitenzahl"/>
      </w:rPr>
      <w:t xml:space="preserve">-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5301C0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  <w:p w14:paraId="1DFB8620" w14:textId="77777777" w:rsidR="00814F85" w:rsidRPr="00300B09" w:rsidRDefault="00814F85" w:rsidP="003F2371">
    <w:pPr>
      <w:pStyle w:val="Kopfzeile"/>
      <w:rPr>
        <w:rFonts w:ascii="Arial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07F14" w14:textId="76960A0F" w:rsidR="00814F85" w:rsidRDefault="00A073DE" w:rsidP="00A073DE">
    <w:pPr>
      <w:pStyle w:val="Kopfzeile"/>
      <w:tabs>
        <w:tab w:val="clear" w:pos="4536"/>
        <w:tab w:val="clear" w:pos="9072"/>
        <w:tab w:val="left" w:pos="488"/>
        <w:tab w:val="left" w:pos="7512"/>
      </w:tabs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4A73132D" wp14:editId="48A1069B">
          <wp:simplePos x="0" y="0"/>
          <wp:positionH relativeFrom="column">
            <wp:posOffset>-73799</wp:posOffset>
          </wp:positionH>
          <wp:positionV relativeFrom="paragraph">
            <wp:posOffset>3175</wp:posOffset>
          </wp:positionV>
          <wp:extent cx="1073150" cy="586740"/>
          <wp:effectExtent l="0" t="0" r="0" b="0"/>
          <wp:wrapNone/>
          <wp:docPr id="40" name="Grafik 40" descr="Claim der Landesdachmarke ‚Schleswig-Holstein. Der echte Norden.‘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Grafik 40" descr="Claim der Landesdachmarke ‚Schleswig-Holstein. Der echte Norden.‘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 t="36260" r="22814" b="17212"/>
                  <a:stretch/>
                </pic:blipFill>
                <pic:spPr bwMode="auto">
                  <a:xfrm>
                    <a:off x="0" y="0"/>
                    <a:ext cx="107315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1099BF9B" wp14:editId="38157969">
          <wp:simplePos x="0" y="0"/>
          <wp:positionH relativeFrom="column">
            <wp:posOffset>2987151</wp:posOffset>
          </wp:positionH>
          <wp:positionV relativeFrom="paragraph">
            <wp:posOffset>-52705</wp:posOffset>
          </wp:positionV>
          <wp:extent cx="3272155" cy="528955"/>
          <wp:effectExtent l="0" t="0" r="4445" b="0"/>
          <wp:wrapNone/>
          <wp:docPr id="1" name="Grafik 1" descr="Landesamt für Landwirtschaft und nachhaltige Landentwick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andesamt für Landwirtschaft und nachhaltige Landentwickl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2155" cy="528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4F85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9FA75AE" wp14:editId="5914FD48">
              <wp:simplePos x="0" y="0"/>
              <wp:positionH relativeFrom="page">
                <wp:posOffset>43180</wp:posOffset>
              </wp:positionH>
              <wp:positionV relativeFrom="page">
                <wp:posOffset>3581400</wp:posOffset>
              </wp:positionV>
              <wp:extent cx="227965" cy="0"/>
              <wp:effectExtent l="0" t="0" r="19685" b="19050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796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7DAD3E" id="Gerade Verbindung 3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.4pt,282pt" to="21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" strokecolor="black [3213]" strokeweight="1pt">
              <v:stroke joinstyle="miter"/>
              <w10:wrap anchorx="page" anchory="page"/>
              <w10:anchorlock/>
            </v:line>
          </w:pict>
        </mc:Fallback>
      </mc:AlternateContent>
    </w:r>
    <w:r w:rsidR="00975FDF"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E7"/>
    <w:rsid w:val="00010CA1"/>
    <w:rsid w:val="0002526F"/>
    <w:rsid w:val="00034980"/>
    <w:rsid w:val="00071579"/>
    <w:rsid w:val="00080D90"/>
    <w:rsid w:val="000829C1"/>
    <w:rsid w:val="00097FA8"/>
    <w:rsid w:val="000C77FB"/>
    <w:rsid w:val="000D2349"/>
    <w:rsid w:val="000F0152"/>
    <w:rsid w:val="001A2983"/>
    <w:rsid w:val="001B3188"/>
    <w:rsid w:val="001C5159"/>
    <w:rsid w:val="001D57CD"/>
    <w:rsid w:val="002055D7"/>
    <w:rsid w:val="00206612"/>
    <w:rsid w:val="002142D1"/>
    <w:rsid w:val="00220F1E"/>
    <w:rsid w:val="00221CDE"/>
    <w:rsid w:val="00250BC5"/>
    <w:rsid w:val="00293E47"/>
    <w:rsid w:val="00294A32"/>
    <w:rsid w:val="002D7A2D"/>
    <w:rsid w:val="00300B09"/>
    <w:rsid w:val="003067F8"/>
    <w:rsid w:val="00364C67"/>
    <w:rsid w:val="0037613D"/>
    <w:rsid w:val="00391811"/>
    <w:rsid w:val="003C168B"/>
    <w:rsid w:val="003D44BF"/>
    <w:rsid w:val="003F2371"/>
    <w:rsid w:val="00442C68"/>
    <w:rsid w:val="00461313"/>
    <w:rsid w:val="00471B30"/>
    <w:rsid w:val="0047451D"/>
    <w:rsid w:val="00487C58"/>
    <w:rsid w:val="004E1D7F"/>
    <w:rsid w:val="004E585D"/>
    <w:rsid w:val="004F3C5E"/>
    <w:rsid w:val="004F6644"/>
    <w:rsid w:val="00517F78"/>
    <w:rsid w:val="005216B4"/>
    <w:rsid w:val="00521AF9"/>
    <w:rsid w:val="005301C0"/>
    <w:rsid w:val="00555BA9"/>
    <w:rsid w:val="0058593C"/>
    <w:rsid w:val="005A3EE9"/>
    <w:rsid w:val="005C370E"/>
    <w:rsid w:val="006154A9"/>
    <w:rsid w:val="0066536F"/>
    <w:rsid w:val="00694EFC"/>
    <w:rsid w:val="00726C19"/>
    <w:rsid w:val="007A2F23"/>
    <w:rsid w:val="007A2F47"/>
    <w:rsid w:val="007A69ED"/>
    <w:rsid w:val="007B0BA2"/>
    <w:rsid w:val="007B337C"/>
    <w:rsid w:val="007C002C"/>
    <w:rsid w:val="007F5181"/>
    <w:rsid w:val="00814F85"/>
    <w:rsid w:val="00840494"/>
    <w:rsid w:val="00845FA3"/>
    <w:rsid w:val="008A2888"/>
    <w:rsid w:val="008A607F"/>
    <w:rsid w:val="008D1491"/>
    <w:rsid w:val="009057F6"/>
    <w:rsid w:val="00960958"/>
    <w:rsid w:val="00975FDF"/>
    <w:rsid w:val="0098500E"/>
    <w:rsid w:val="009A21BA"/>
    <w:rsid w:val="009E13EB"/>
    <w:rsid w:val="009F7D3D"/>
    <w:rsid w:val="00A05EE5"/>
    <w:rsid w:val="00A073DE"/>
    <w:rsid w:val="00A14969"/>
    <w:rsid w:val="00A70EB4"/>
    <w:rsid w:val="00A85C4D"/>
    <w:rsid w:val="00B51C3C"/>
    <w:rsid w:val="00B77D62"/>
    <w:rsid w:val="00B8368B"/>
    <w:rsid w:val="00BB522D"/>
    <w:rsid w:val="00BE41E2"/>
    <w:rsid w:val="00C0250A"/>
    <w:rsid w:val="00C1022A"/>
    <w:rsid w:val="00C62810"/>
    <w:rsid w:val="00C90C84"/>
    <w:rsid w:val="00C9459E"/>
    <w:rsid w:val="00CE0EED"/>
    <w:rsid w:val="00D23E66"/>
    <w:rsid w:val="00D375CD"/>
    <w:rsid w:val="00D85580"/>
    <w:rsid w:val="00DC6D23"/>
    <w:rsid w:val="00E149D3"/>
    <w:rsid w:val="00E149D9"/>
    <w:rsid w:val="00E63338"/>
    <w:rsid w:val="00E717C2"/>
    <w:rsid w:val="00EA2889"/>
    <w:rsid w:val="00F55E6D"/>
    <w:rsid w:val="00F66F71"/>
    <w:rsid w:val="00F70F40"/>
    <w:rsid w:val="00FB23E7"/>
    <w:rsid w:val="00FD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053F98A"/>
  <w15:docId w15:val="{59C7AFB4-6DAF-4549-B4F3-27C14B6D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C370E"/>
    <w:pPr>
      <w:spacing w:after="0" w:line="288" w:lineRule="atLeast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FB23E7"/>
    <w:pPr>
      <w:keepNext/>
      <w:widowControl w:val="0"/>
      <w:tabs>
        <w:tab w:val="right" w:pos="10150"/>
      </w:tabs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717C2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E717C2"/>
    <w:rPr>
      <w:sz w:val="16"/>
    </w:rPr>
  </w:style>
  <w:style w:type="paragraph" w:styleId="Fuzeile">
    <w:name w:val="footer"/>
    <w:basedOn w:val="Standard"/>
    <w:link w:val="FuzeileZchn"/>
    <w:unhideWhenUsed/>
    <w:rsid w:val="0098500E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8500E"/>
    <w:rPr>
      <w:sz w:val="16"/>
    </w:rPr>
  </w:style>
  <w:style w:type="table" w:styleId="Tabellenraster">
    <w:name w:val="Table Grid"/>
    <w:basedOn w:val="NormaleTabelle"/>
    <w:uiPriority w:val="39"/>
    <w:rsid w:val="00694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nsterzeile">
    <w:name w:val="Fensterzeile"/>
    <w:basedOn w:val="Standard"/>
    <w:qFormat/>
    <w:rsid w:val="00461313"/>
    <w:pPr>
      <w:spacing w:line="160" w:lineRule="atLeast"/>
    </w:pPr>
    <w:rPr>
      <w:sz w:val="14"/>
    </w:rPr>
  </w:style>
  <w:style w:type="paragraph" w:customStyle="1" w:styleId="Absender">
    <w:name w:val="Absender"/>
    <w:basedOn w:val="Standard"/>
    <w:qFormat/>
    <w:rsid w:val="00461313"/>
    <w:pPr>
      <w:spacing w:line="220" w:lineRule="atLeast"/>
      <w:jc w:val="right"/>
    </w:pPr>
    <w:rPr>
      <w:sz w:val="19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517F78"/>
  </w:style>
  <w:style w:type="character" w:customStyle="1" w:styleId="DatumZchn">
    <w:name w:val="Datum Zchn"/>
    <w:basedOn w:val="Absatz-Standardschriftart"/>
    <w:link w:val="Datum"/>
    <w:uiPriority w:val="99"/>
    <w:semiHidden/>
    <w:rsid w:val="00517F78"/>
    <w:rPr>
      <w:sz w:val="24"/>
    </w:rPr>
  </w:style>
  <w:style w:type="paragraph" w:customStyle="1" w:styleId="Verborgen">
    <w:name w:val="Verborgen"/>
    <w:basedOn w:val="Standard"/>
    <w:rsid w:val="002055D7"/>
    <w:pPr>
      <w:tabs>
        <w:tab w:val="left" w:pos="0"/>
      </w:tabs>
      <w:spacing w:line="360" w:lineRule="auto"/>
      <w:ind w:left="-284"/>
    </w:pPr>
    <w:rPr>
      <w:rFonts w:ascii="Arial" w:eastAsia="Times New Roman" w:hAnsi="Arial" w:cs="Times New Roman"/>
      <w:vanish/>
      <w:color w:val="0000FF"/>
      <w:sz w:val="20"/>
      <w:szCs w:val="20"/>
      <w:lang w:eastAsia="de-DE"/>
    </w:rPr>
  </w:style>
  <w:style w:type="character" w:styleId="Hyperlink">
    <w:name w:val="Hyperlink"/>
    <w:rsid w:val="002055D7"/>
    <w:rPr>
      <w:rFonts w:ascii="Arial" w:hAnsi="Arial"/>
      <w:color w:val="0000FF"/>
      <w:sz w:val="24"/>
      <w:szCs w:val="24"/>
      <w:u w:val="single"/>
    </w:rPr>
  </w:style>
  <w:style w:type="paragraph" w:customStyle="1" w:styleId="Geschftszeichen">
    <w:name w:val="Geschäftszeichen"/>
    <w:basedOn w:val="Standard"/>
    <w:rsid w:val="002055D7"/>
    <w:pPr>
      <w:spacing w:line="240" w:lineRule="auto"/>
      <w:jc w:val="right"/>
    </w:pPr>
    <w:rPr>
      <w:rFonts w:ascii="Arial" w:eastAsia="Times New Roman" w:hAnsi="Arial" w:cs="Times New Roman"/>
      <w:szCs w:val="24"/>
      <w:lang w:eastAsia="de-DE"/>
    </w:rPr>
  </w:style>
  <w:style w:type="character" w:styleId="Seitenzahl">
    <w:name w:val="page number"/>
    <w:rsid w:val="00FD70AE"/>
    <w:rPr>
      <w:rFonts w:ascii="Arial" w:hAnsi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C16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C168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FB23E7"/>
    <w:rPr>
      <w:rFonts w:ascii="Times New Roman" w:eastAsia="Times New Roman" w:hAnsi="Times New Roman" w:cs="Times New Roman"/>
      <w:i/>
      <w:sz w:val="24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FB23E7"/>
    <w:pPr>
      <w:spacing w:line="360" w:lineRule="exac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FB23E7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FB23E7"/>
    <w:rPr>
      <w:vertAlign w:val="superscript"/>
    </w:rPr>
  </w:style>
  <w:style w:type="paragraph" w:customStyle="1" w:styleId="Textkrper31">
    <w:name w:val="Textkörper 31"/>
    <w:basedOn w:val="Standard"/>
    <w:rsid w:val="00FB23E7"/>
    <w:pPr>
      <w:widowControl w:val="0"/>
      <w:spacing w:after="60" w:line="240" w:lineRule="atLeast"/>
    </w:pPr>
    <w:rPr>
      <w:rFonts w:ascii="Times New Roman" w:eastAsia="Times New Roman" w:hAnsi="Times New Roman" w:cs="Times New Roman"/>
      <w:szCs w:val="20"/>
      <w:lang w:eastAsia="de-DE"/>
    </w:rPr>
  </w:style>
  <w:style w:type="paragraph" w:styleId="StandardWeb">
    <w:name w:val="Normal (Web)"/>
    <w:basedOn w:val="Standard"/>
    <w:rsid w:val="00FB23E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022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0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022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0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02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leswig-holstein.de/llnl" TargetMode="External"/><Relationship Id="rId2" Type="http://schemas.openxmlformats.org/officeDocument/2006/relationships/hyperlink" Target="mailto:poststelle@llnl-landsh.de-mail.de" TargetMode="External"/><Relationship Id="rId1" Type="http://schemas.openxmlformats.org/officeDocument/2006/relationships/hyperlink" Target="mailto:poststelle.flintbek@llnl.landsh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A07F0-10DF-44FD-BC6C-741A7D57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1359</Words>
  <Characters>8566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>Land SH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Alter, Ina (MLUR)</dc:creator>
  <cp:lastModifiedBy>Meyer, Andrea (Innenministerium)</cp:lastModifiedBy>
  <cp:revision>23</cp:revision>
  <cp:lastPrinted>2014-10-14T08:08:00Z</cp:lastPrinted>
  <dcterms:created xsi:type="dcterms:W3CDTF">2018-10-09T09:33:00Z</dcterms:created>
  <dcterms:modified xsi:type="dcterms:W3CDTF">2024-04-26T08:18:00Z</dcterms:modified>
</cp:coreProperties>
</file>